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2026</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431165</wp:posOffset>
            </wp:positionV>
            <wp:extent cx="1062990" cy="1174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81" w:orient="portrait"/>
          <w:cols w:equalWidth="0" w:num="1">
            <w:col w:w="11140"/>
          </w:cols>
          <w:pgMar w:left="32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06-1313069</w:t>
      </w:r>
    </w:p>
    <w:p>
      <w:pPr>
        <w:spacing w:after="0" w:line="12" w:lineRule="exact"/>
        <w:rPr>
          <w:sz w:val="24"/>
          <w:szCs w:val="24"/>
          <w:color w:val="auto"/>
        </w:rPr>
      </w:pPr>
    </w:p>
    <w:p>
      <w:pPr>
        <w:sectPr>
          <w:pgSz w:w="11900" w:h="16881" w:orient="portrait"/>
          <w:cols w:equalWidth="0" w:num="2">
            <w:col w:w="7300" w:space="720"/>
            <w:col w:w="3120"/>
          </w:cols>
          <w:pgMar w:left="320" w:top="225" w:right="439" w:bottom="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81" w:orient="portrait"/>
          <w:cols w:equalWidth="0" w:num="2">
            <w:col w:w="7180" w:space="720"/>
            <w:col w:w="3240"/>
          </w:cols>
          <w:pgMar w:left="320" w:top="225" w:right="439" w:bottom="0" w:gutter="0" w:footer="0" w:header="0"/>
          <w:type w:val="continuous"/>
        </w:sectPr>
      </w:pP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13410 Sutton Park Drive South, Jacksonville, Florida</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32224</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(904) 398-9400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81" w:orient="portrait"/>
          <w:cols w:equalWidth="0" w:num="1">
            <w:col w:w="11140"/>
          </w:cols>
          <w:pgMar w:left="320" w:top="225" w:right="439" w:bottom="0" w:gutter="0" w:footer="0" w:header="0"/>
          <w:type w:val="continuous"/>
        </w:sectPr>
      </w:pP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LSTR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ectPr>
          <w:pgSz w:w="11900" w:h="16881" w:orient="portrait"/>
          <w:cols w:equalWidth="0" w:num="1">
            <w:col w:w="11140"/>
          </w:cols>
          <w:pgMar w:left="320" w:top="225" w:right="4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440"/>
        <w:spacing w:after="0" w:line="207" w:lineRule="exact"/>
        <w:tabs>
          <w:tab w:leader="none" w:pos="88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outstanding as of the close of business on April 20, 2026 was 33,928,210.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81"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9"/>
          </w:tcPr>
          <w:p>
            <w:pPr>
              <w:jc w:val="center"/>
              <w:ind w:right="3740"/>
              <w:spacing w:after="0"/>
              <w:rPr>
                <w:sz w:val="20"/>
                <w:szCs w:val="20"/>
                <w:color w:val="auto"/>
              </w:rPr>
            </w:pPr>
            <w:r>
              <w:rPr>
                <w:rFonts w:ascii="Times New Roman" w:cs="Times New Roman" w:eastAsia="Times New Roman" w:hAnsi="Times New Roman"/>
                <w:sz w:val="18"/>
                <w:szCs w:val="18"/>
                <w:color w:val="auto"/>
                <w:w w:val="97"/>
              </w:rPr>
              <w:t>Index</w:t>
            </w:r>
          </w:p>
        </w:tc>
        <w:tc>
          <w:tcPr>
            <w:tcW w:w="11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6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EE"/>
                <w:w w:val="99"/>
              </w:rPr>
              <w:t xml:space="preserve">PART I </w:t>
            </w:r>
            <w:r>
              <w:rPr>
                <w:rFonts w:ascii="Times New Roman" w:cs="Times New Roman" w:eastAsia="Times New Roman" w:hAnsi="Times New Roman"/>
                <w:sz w:val="18"/>
                <w:szCs w:val="18"/>
                <w:color w:val="0000EE"/>
                <w:w w:val="99"/>
              </w:rPr>
              <w:t>– Financial Information</w:t>
            </w:r>
          </w:p>
        </w:tc>
        <w:tc>
          <w:tcPr>
            <w:tcW w:w="11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2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1. </w:t>
            </w:r>
            <w:r>
              <w:rPr>
                <w:rFonts w:ascii="Times New Roman" w:cs="Times New Roman" w:eastAsia="Times New Roman" w:hAnsi="Times New Roman"/>
                <w:sz w:val="18"/>
                <w:szCs w:val="18"/>
                <w:color w:val="0000EE"/>
                <w:w w:val="99"/>
              </w:rPr>
              <w:t>Financial Statements (unaudited)</w:t>
            </w:r>
          </w:p>
        </w:tc>
        <w:tc>
          <w:tcPr>
            <w:tcW w:w="980" w:type="dxa"/>
            <w:vAlign w:val="bottom"/>
            <w:gridSpan w:val="2"/>
          </w:tcPr>
          <w:p>
            <w:pPr>
              <w:spacing w:after="0"/>
              <w:rPr>
                <w:sz w:val="24"/>
                <w:szCs w:val="24"/>
                <w:color w:val="auto"/>
              </w:rPr>
            </w:pPr>
          </w:p>
        </w:tc>
        <w:tc>
          <w:tcPr>
            <w:tcW w:w="2340" w:type="dxa"/>
            <w:vAlign w:val="bottom"/>
            <w:tcBorders>
              <w:top w:val="single" w:sz="8" w:color="0000EE"/>
            </w:tcBorders>
            <w:gridSpan w:val="6"/>
          </w:tcPr>
          <w:p>
            <w:pPr>
              <w:spacing w:after="0"/>
              <w:rPr>
                <w:sz w:val="24"/>
                <w:szCs w:val="24"/>
                <w:color w:val="auto"/>
              </w:rPr>
            </w:pPr>
          </w:p>
        </w:tc>
        <w:tc>
          <w:tcPr>
            <w:tcW w:w="3520" w:type="dxa"/>
            <w:vAlign w:val="bottom"/>
            <w:gridSpan w:val="6"/>
          </w:tcPr>
          <w:p>
            <w:pPr>
              <w:spacing w:after="0"/>
              <w:rPr>
                <w:sz w:val="24"/>
                <w:szCs w:val="24"/>
                <w:color w:val="auto"/>
              </w:rPr>
            </w:pPr>
          </w:p>
        </w:tc>
        <w:tc>
          <w:tcPr>
            <w:tcW w:w="11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as of March 28, 2026 and December 27, 2025</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Income for the Thirteen Weeks Ended March 28, 2026 and March 29, 2025</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Thirteen Weeks Ended March 28, 2026 and March 29, 2025</w:t>
            </w:r>
          </w:p>
        </w:tc>
        <w:tc>
          <w:tcPr>
            <w:tcW w:w="1180" w:type="dxa"/>
            <w:vAlign w:val="bottom"/>
            <w:gridSpan w:val="2"/>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6</w:t>
            </w: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Thirteen Weeks Ended March 28, 2026 and March 29, 2025</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2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Shareholders’ Equity for the Thirteen Weeks Ended March 28, 2026 and March 29, 2025</w:t>
            </w:r>
          </w:p>
        </w:tc>
        <w:tc>
          <w:tcPr>
            <w:tcW w:w="520" w:type="dxa"/>
            <w:vAlign w:val="bottom"/>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8</w:t>
            </w: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 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2. </w:t>
            </w: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gridSpan w:val="5"/>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19</w:t>
            </w:r>
          </w:p>
        </w:tc>
      </w:tr>
      <w:tr>
        <w:trPr>
          <w:trHeight w:val="304"/>
        </w:trPr>
        <w:tc>
          <w:tcPr>
            <w:tcW w:w="120" w:type="dxa"/>
            <w:vAlign w:val="bottom"/>
          </w:tcPr>
          <w:p>
            <w:pPr>
              <w:spacing w:after="0"/>
              <w:rPr>
                <w:sz w:val="24"/>
                <w:szCs w:val="24"/>
                <w:color w:val="auto"/>
              </w:rPr>
            </w:pPr>
          </w:p>
        </w:tc>
        <w:tc>
          <w:tcPr>
            <w:tcW w:w="49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 xml:space="preserve">Item 3. </w:t>
            </w:r>
            <w:r>
              <w:rPr>
                <w:rFonts w:ascii="Times New Roman" w:cs="Times New Roman" w:eastAsia="Times New Roman" w:hAnsi="Times New Roman"/>
                <w:sz w:val="18"/>
                <w:szCs w:val="18"/>
                <w:color w:val="0000EE"/>
                <w:w w:val="99"/>
              </w:rPr>
              <w:t>Quantitative and Qualitative Disclosures About Market Risk</w:t>
            </w:r>
          </w:p>
        </w:tc>
        <w:tc>
          <w:tcPr>
            <w:tcW w:w="4860" w:type="dxa"/>
            <w:vAlign w:val="bottom"/>
            <w:gridSpan w:val="9"/>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30</w:t>
            </w: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 xml:space="preserve">Item 4. </w:t>
            </w:r>
            <w:r>
              <w:rPr>
                <w:rFonts w:ascii="Times New Roman" w:cs="Times New Roman" w:eastAsia="Times New Roman" w:hAnsi="Times New Roman"/>
                <w:sz w:val="18"/>
                <w:szCs w:val="18"/>
                <w:color w:val="0000EE"/>
              </w:rPr>
              <w:t>Controls and Procedures</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31</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11"/>
          </w:tcPr>
          <w:p>
            <w:pPr>
              <w:jc w:val="center"/>
              <w:ind w:right="3620"/>
              <w:spacing w:after="0"/>
              <w:rPr>
                <w:sz w:val="20"/>
                <w:szCs w:val="20"/>
                <w:color w:val="auto"/>
              </w:rPr>
            </w:pPr>
            <w:r>
              <w:rPr>
                <w:rFonts w:ascii="Times New Roman" w:cs="Times New Roman" w:eastAsia="Times New Roman" w:hAnsi="Times New Roman"/>
                <w:sz w:val="18"/>
                <w:szCs w:val="18"/>
                <w:b w:val="1"/>
                <w:bCs w:val="1"/>
                <w:color w:val="0000EE"/>
                <w:w w:val="98"/>
              </w:rPr>
              <w:t xml:space="preserve">PART II – </w:t>
            </w:r>
            <w:r>
              <w:rPr>
                <w:rFonts w:ascii="Times New Roman" w:cs="Times New Roman" w:eastAsia="Times New Roman" w:hAnsi="Times New Roman"/>
                <w:sz w:val="18"/>
                <w:szCs w:val="18"/>
                <w:color w:val="0000EE"/>
                <w:w w:val="98"/>
              </w:rPr>
              <w:t>Other Information</w:t>
            </w:r>
          </w:p>
        </w:tc>
        <w:tc>
          <w:tcPr>
            <w:tcW w:w="11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1. </w:t>
            </w:r>
            <w:r>
              <w:rPr>
                <w:rFonts w:ascii="Times New Roman" w:cs="Times New Roman" w:eastAsia="Times New Roman" w:hAnsi="Times New Roman"/>
                <w:sz w:val="18"/>
                <w:szCs w:val="18"/>
                <w:color w:val="0000EE"/>
                <w:w w:val="98"/>
              </w:rPr>
              <w:t>Legal Proceedings</w:t>
            </w:r>
          </w:p>
        </w:tc>
        <w:tc>
          <w:tcPr>
            <w:tcW w:w="2120" w:type="dxa"/>
            <w:vAlign w:val="bottom"/>
            <w:gridSpan w:val="5"/>
          </w:tcPr>
          <w:p>
            <w:pPr>
              <w:spacing w:after="0"/>
              <w:rPr>
                <w:sz w:val="24"/>
                <w:szCs w:val="24"/>
                <w:color w:val="auto"/>
              </w:rPr>
            </w:pPr>
          </w:p>
        </w:tc>
        <w:tc>
          <w:tcPr>
            <w:tcW w:w="2140" w:type="dxa"/>
            <w:vAlign w:val="bottom"/>
            <w:tcBorders>
              <w:top w:val="single" w:sz="8" w:color="0000EE"/>
            </w:tcBorders>
            <w:gridSpan w:val="4"/>
          </w:tcPr>
          <w:p>
            <w:pPr>
              <w:spacing w:after="0"/>
              <w:rPr>
                <w:sz w:val="24"/>
                <w:szCs w:val="24"/>
                <w:color w:val="auto"/>
              </w:rPr>
            </w:pPr>
          </w:p>
        </w:tc>
        <w:tc>
          <w:tcPr>
            <w:tcW w:w="3620" w:type="dxa"/>
            <w:vAlign w:val="bottom"/>
            <w:gridSpan w:val="7"/>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31</w:t>
            </w:r>
          </w:p>
        </w:tc>
      </w:tr>
      <w:tr>
        <w:trPr>
          <w:trHeight w:val="304"/>
        </w:trPr>
        <w:tc>
          <w:tcPr>
            <w:tcW w:w="120" w:type="dxa"/>
            <w:vAlign w:val="bottom"/>
          </w:tcPr>
          <w:p>
            <w:pPr>
              <w:spacing w:after="0"/>
              <w:rPr>
                <w:sz w:val="24"/>
                <w:szCs w:val="24"/>
                <w:color w:val="auto"/>
              </w:rPr>
            </w:pPr>
          </w:p>
        </w:tc>
        <w:tc>
          <w:tcPr>
            <w:tcW w:w="1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1A. </w:t>
            </w:r>
            <w:r>
              <w:rPr>
                <w:rFonts w:ascii="Times New Roman" w:cs="Times New Roman" w:eastAsia="Times New Roman" w:hAnsi="Times New Roman"/>
                <w:sz w:val="18"/>
                <w:szCs w:val="18"/>
                <w:color w:val="0000EE"/>
                <w:w w:val="98"/>
              </w:rPr>
              <w:t>Risk Factors</w:t>
            </w:r>
          </w:p>
        </w:tc>
        <w:tc>
          <w:tcPr>
            <w:tcW w:w="8180" w:type="dxa"/>
            <w:vAlign w:val="bottom"/>
            <w:gridSpan w:val="18"/>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31</w:t>
            </w: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32</w:t>
            </w:r>
          </w:p>
        </w:tc>
      </w:tr>
      <w:tr>
        <w:trPr>
          <w:trHeight w:val="304"/>
        </w:trPr>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Item 5. </w:t>
            </w:r>
            <w:r>
              <w:rPr>
                <w:rFonts w:ascii="Times New Roman" w:cs="Times New Roman" w:eastAsia="Times New Roman" w:hAnsi="Times New Roman"/>
                <w:sz w:val="18"/>
                <w:szCs w:val="18"/>
                <w:color w:val="0000EE"/>
                <w:w w:val="98"/>
              </w:rPr>
              <w:t>Other Information</w:t>
            </w:r>
          </w:p>
        </w:tc>
        <w:tc>
          <w:tcPr>
            <w:tcW w:w="3020" w:type="dxa"/>
            <w:vAlign w:val="bottom"/>
            <w:tcBorders>
              <w:top w:val="single" w:sz="8" w:color="0000EE"/>
            </w:tcBorders>
            <w:gridSpan w:val="7"/>
          </w:tcPr>
          <w:p>
            <w:pPr>
              <w:spacing w:after="0"/>
              <w:rPr>
                <w:sz w:val="24"/>
                <w:szCs w:val="24"/>
                <w:color w:val="auto"/>
              </w:rPr>
            </w:pPr>
          </w:p>
        </w:tc>
        <w:tc>
          <w:tcPr>
            <w:tcW w:w="4880" w:type="dxa"/>
            <w:vAlign w:val="bottom"/>
            <w:gridSpan w:val="10"/>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32</w:t>
            </w:r>
          </w:p>
        </w:tc>
      </w:tr>
      <w:tr>
        <w:trPr>
          <w:trHeight w:val="304"/>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 xml:space="preserve">Item 6. </w:t>
            </w:r>
            <w:r>
              <w:rPr>
                <w:rFonts w:ascii="Times New Roman" w:cs="Times New Roman" w:eastAsia="Times New Roman" w:hAnsi="Times New Roman"/>
                <w:sz w:val="18"/>
                <w:szCs w:val="18"/>
                <w:color w:val="0000EE"/>
              </w:rPr>
              <w:t>Exhibits</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32</w:t>
            </w:r>
          </w:p>
        </w:tc>
      </w:tr>
      <w:tr>
        <w:trPr>
          <w:trHeight w:val="304"/>
        </w:trPr>
        <w:tc>
          <w:tcPr>
            <w:tcW w:w="120" w:type="dxa"/>
            <w:vAlign w:val="bottom"/>
          </w:tcPr>
          <w:p>
            <w:pPr>
              <w:spacing w:after="0"/>
              <w:rPr>
                <w:sz w:val="24"/>
                <w:szCs w:val="24"/>
                <w:color w:val="auto"/>
              </w:rPr>
            </w:pP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20" w:type="dxa"/>
            <w:vAlign w:val="bottom"/>
            <w:tcBorders>
              <w:top w:val="single" w:sz="8" w:color="0000EE"/>
            </w:tcBorders>
          </w:tcPr>
          <w:p>
            <w:pPr>
              <w:spacing w:after="0"/>
              <w:rPr>
                <w:sz w:val="24"/>
                <w:szCs w:val="24"/>
                <w:color w:val="auto"/>
              </w:rPr>
            </w:pPr>
          </w:p>
        </w:tc>
        <w:tc>
          <w:tcPr>
            <w:tcW w:w="8620" w:type="dxa"/>
            <w:vAlign w:val="bottom"/>
            <w:gridSpan w:val="20"/>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Page 34</w:t>
            </w:r>
          </w:p>
        </w:tc>
      </w:tr>
      <w:tr>
        <w:trPr>
          <w:trHeight w:val="326"/>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 – 31.1 Section 302 CEO Certification</w:t>
            </w:r>
          </w:p>
        </w:tc>
        <w:tc>
          <w:tcPr>
            <w:tcW w:w="1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 – 31.2 Section 302 CFO Certification</w:t>
            </w:r>
          </w:p>
        </w:tc>
        <w:tc>
          <w:tcPr>
            <w:tcW w:w="1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 – 32.1 Section 906 CEO Certification</w:t>
            </w:r>
          </w:p>
        </w:tc>
        <w:tc>
          <w:tcPr>
            <w:tcW w:w="1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 – 32.2 Section 906 CFO Certification</w:t>
            </w:r>
          </w:p>
        </w:tc>
        <w:tc>
          <w:tcPr>
            <w:tcW w:w="1120" w:type="dxa"/>
            <w:vAlign w:val="bottom"/>
          </w:tcPr>
          <w:p>
            <w:pPr>
              <w:spacing w:after="0"/>
              <w:rPr>
                <w:sz w:val="20"/>
                <w:szCs w:val="20"/>
                <w:color w:val="auto"/>
              </w:rPr>
            </w:pPr>
          </w:p>
        </w:tc>
      </w:tr>
      <w:tr>
        <w:trPr>
          <w:trHeight w:val="365"/>
        </w:trPr>
        <w:tc>
          <w:tcPr>
            <w:tcW w:w="6300" w:type="dxa"/>
            <w:vAlign w:val="bottom"/>
            <w:gridSpan w:val="16"/>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73"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PART I - </w:t>
      </w:r>
      <w:r>
        <w:rPr>
          <w:rFonts w:ascii="Times New Roman" w:cs="Times New Roman" w:eastAsia="Times New Roman" w:hAnsi="Times New Roman"/>
          <w:sz w:val="18"/>
          <w:szCs w:val="18"/>
          <w:color w:val="auto"/>
        </w:rPr>
        <w:t>FINANCIAL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interim consolidated financial statements contained herein reflect all adjustments (all of a normal, recurring nature) which, in the opinion of management, are necessary for a fair statement of the financial condition, results of operations, cash flows and changes in shareholders’ equity for the periods presented. They have been prepared in accordance with Rule 10-01 of Regulation S-X and do not include all the information and footnotes required by generally accepted accounting principles for complete financial statements. Operating results for the thirteen weeks ended March 28, 2026 are not necessarily indicative of the results that may be expected for the entire fiscal year ending December 26, 2026.</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audited consolidated financial statements and notes thereto included in the Company’s 2025 Annual Report on Form 10-K.</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320" w:top="482"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8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ind w:left="400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353,255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396,694</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55,531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 less allowance of $8,606 and $12,490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670,137</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including advances to independent contractors, less allowance of $15,791 and $18,759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52,784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12,231</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28,949</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1,216,326</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 of $480,097 and $473,642</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124,282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1,602,198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1,635,935</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overdraft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54,432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56,654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369,567</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claims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87,343</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68,117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6,961</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88,251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78,856</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695,840</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62,706</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32,855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33,244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160,000,000 shares, issued 68,619,240 and 68,590,708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261,256</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2,878,506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2,852,680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34,691,030 and 34,531,982 shares of common stock in treasury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(2,336,869)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(2,313,245)</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795,665</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1,602,198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8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906,997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897,878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to agents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93,314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and claims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39,852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61,582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39,419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expense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39,578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29,806</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basic and diluted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34,022,000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35,203,000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60" w:type="dxa"/>
            <w:vAlign w:val="bottom"/>
          </w:tcPr>
          <w:p>
            <w:pPr>
              <w:spacing w:after="0"/>
              <w:rPr>
                <w:sz w:val="15"/>
                <w:szCs w:val="15"/>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936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60" w:type="dxa"/>
            <w:vAlign w:val="bottom"/>
          </w:tcPr>
          <w:p>
            <w:pPr>
              <w:spacing w:after="0"/>
              <w:rPr>
                <w:sz w:val="10"/>
                <w:szCs w:val="10"/>
                <w:color w:val="auto"/>
              </w:rPr>
            </w:pPr>
          </w:p>
        </w:tc>
      </w:tr>
      <w:tr>
        <w:trPr>
          <w:trHeight w:val="173"/>
        </w:trPr>
        <w:tc>
          <w:tcPr>
            <w:tcW w:w="936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$ 39,440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holding (losses) gains on available-for-sale investments, net of tax (benefit) expense of ($214) and $264</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(780)</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9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(1,375)</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w:t>
            </w: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$ 38,065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$ 30,820</w:t>
            </w:r>
          </w:p>
        </w:tc>
        <w:tc>
          <w:tcPr>
            <w:tcW w:w="6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92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Pr>
          <w:p>
            <w:pPr>
              <w:spacing w:after="0"/>
              <w:rPr>
                <w:sz w:val="10"/>
                <w:szCs w:val="10"/>
                <w:color w:val="auto"/>
              </w:rPr>
            </w:pPr>
          </w:p>
        </w:tc>
      </w:tr>
      <w:tr>
        <w:trPr>
          <w:trHeight w:val="173"/>
        </w:trPr>
        <w:tc>
          <w:tcPr>
            <w:tcW w:w="9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29,806</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12,226</w:t>
            </w: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Provisions for losses on trade and other accounts receivable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6,455</w:t>
            </w: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Gains on sales/disposals of operating property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trade and other 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(27,068)</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Decrease in other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5,967</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8,514</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Increase in insurance claims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9,721</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55,698</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46,858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(48,085)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operating property</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operating property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cash overdraft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(83,320)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in lieu of shares issued related to stock-based compensation plans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(60,361)</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(8,339)</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(114,936)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(154,603)</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 including cash and cash equivalents classified as assets held for sale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(97,598)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Less: Net change in cash and cash equivalents classified as assets held for sale</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(97,598)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515,018</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353,255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417,420</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Thirteen Weeks Ended March 28, 2026 and March 29,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40" w:type="dxa"/>
            <w:vAlign w:val="bottom"/>
            <w:gridSpan w:val="5"/>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00" w:type="dxa"/>
            <w:vAlign w:val="bottom"/>
          </w:tcPr>
          <w:p>
            <w:pPr>
              <w:spacing w:after="0"/>
              <w:rPr>
                <w:sz w:val="12"/>
                <w:szCs w:val="12"/>
                <w:color w:val="auto"/>
              </w:rPr>
            </w:pPr>
          </w:p>
        </w:tc>
        <w:tc>
          <w:tcPr>
            <w:tcW w:w="940" w:type="dxa"/>
            <w:vAlign w:val="bottom"/>
            <w:gridSpan w:val="2"/>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140" w:type="dxa"/>
            <w:vAlign w:val="bottom"/>
            <w:gridSpan w:val="3"/>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68,590,708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$261,256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$2,852,680</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34,531,982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$(2,313,245)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$795,665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39,440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39,440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($0.40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(13,614)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(13,614)</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150,923</w:t>
            </w:r>
          </w:p>
        </w:tc>
        <w:tc>
          <w:tcPr>
            <w:tcW w:w="12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(22,587)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28,532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w:t>
            </w:r>
          </w:p>
        </w:tc>
        <w:tc>
          <w:tcPr>
            <w:tcW w:w="12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(1,375)</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28,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68,619,240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263,740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2,878,506</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34,691,030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(2,336,869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798,976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40" w:type="dxa"/>
            <w:vAlign w:val="bottom"/>
            <w:gridSpan w:val="5"/>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00" w:type="dxa"/>
            <w:vAlign w:val="bottom"/>
          </w:tcPr>
          <w:p>
            <w:pPr>
              <w:spacing w:after="0"/>
              <w:rPr>
                <w:sz w:val="12"/>
                <w:szCs w:val="12"/>
                <w:color w:val="auto"/>
              </w:rPr>
            </w:pPr>
          </w:p>
        </w:tc>
        <w:tc>
          <w:tcPr>
            <w:tcW w:w="940" w:type="dxa"/>
            <w:vAlign w:val="bottom"/>
            <w:gridSpan w:val="2"/>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140" w:type="dxa"/>
            <w:vAlign w:val="bottom"/>
            <w:gridSpan w:val="3"/>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140" w:type="dxa"/>
            <w:vAlign w:val="bottom"/>
            <w:gridSpan w:val="3"/>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68,559,269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$255,260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$2,859,916</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33,243,196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$(2,131,413)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$972,439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29,806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29,806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($0.36 per share)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(12,688)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386,318</w:t>
            </w:r>
          </w:p>
        </w:tc>
        <w:tc>
          <w:tcPr>
            <w:tcW w:w="12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(60,945)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(60,945)</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 plans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c>
          <w:tcPr>
            <w:tcW w:w="12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1,014</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29,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68,581,772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257,296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2,877,034</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33,635,595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(2,193,265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930,755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LANDSTAR SYSTEM, INC. AND SUBSIDIARY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Landstar System, Inc. and its subsidiary, Landstar System Holdings, Inc., and reflect all adjustments (all of a normal, recurring nature) which are, in the opinion of management, necessary for a fair statement of the results for the periods presented. The preparation of the consolidated financial statements requires the use of management’s estimates. Actual results could differ from those estimates. Landstar System, Inc. and its subsidiary are herein referred to as “Landstar” or the “Company.” Significant intercompany accounts have been eliminated in consolidation.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audited consolidated financial statements and notes thereto included in the Company’s 2025 Annual Report on Form 10-K.</w:t>
      </w:r>
    </w:p>
    <w:p>
      <w:pPr>
        <w:spacing w:after="0" w:line="306"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Disaggregation of Revenue</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thirteen-week periods ended March 28, 2026 and March 29, 2025 (dollars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0" w:type="dxa"/>
            <w:vAlign w:val="bottom"/>
          </w:tcPr>
          <w:p>
            <w:pPr>
              <w:spacing w:after="0"/>
              <w:rPr>
                <w:sz w:val="10"/>
                <w:szCs w:val="10"/>
                <w:color w:val="auto"/>
              </w:rPr>
            </w:pPr>
          </w:p>
        </w:tc>
      </w:tr>
      <w:tr>
        <w:trPr>
          <w:trHeight w:val="173"/>
        </w:trPr>
        <w:tc>
          <w:tcPr>
            <w:tcW w:w="4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r>
      <w:tr>
        <w:trPr>
          <w:trHeight w:val="176"/>
        </w:trPr>
        <w:tc>
          <w:tcPr>
            <w:tcW w:w="42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Mode</w:t>
            </w:r>
          </w:p>
        </w:tc>
        <w:tc>
          <w:tcPr>
            <w:tcW w:w="586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 BCO Independent Contractors</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 – Truck Brokerage Carriers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Rail intermodal</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8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Equipment Type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603,406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594,795</w:t>
            </w: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Unsided/platform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368,569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340,408</w:t>
            </w: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Less-than-truckload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23,788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22,436</w:t>
            </w:r>
          </w:p>
        </w:tc>
      </w:t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truck transportation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86,518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92,079</w:t>
            </w:r>
          </w:p>
        </w:tc>
      </w:tr>
    </w:tbl>
    <w:p>
      <w:pPr>
        <w:spacing w:after="0" w:line="206" w:lineRule="exact"/>
        <w:rPr>
          <w:sz w:val="20"/>
          <w:szCs w:val="20"/>
          <w:color w:val="auto"/>
        </w:rPr>
      </w:pPr>
    </w:p>
    <w:p>
      <w:pPr>
        <w:ind w:left="540" w:right="40" w:hanging="424"/>
        <w:spacing w:after="0" w:line="26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Arrangements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of March 28, 2026, the Company has an employee equity incentive plan, the 2011 equity incentive plan (the “2011 EIP”). The Company also has a stock compensation plan for members of its Board of Directors, the 2022 Directors Stock Compensation Plan (the “2022 DSCP”). 6,000,000 shares of the Company’s common stock were authorized for issuance under the 2011 EIP and 200,000 shares of the Company’s common stock were authorized for issuance under the 2022 DSCP. The 2011 EIP and 2022 DSCP are each referred to herein as a “Plan,” and, collectively, as the “Plans.” Amounts recognized in the financial statements with respect to these Plans are as follows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5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Pr>
          <w:p>
            <w:pPr>
              <w:spacing w:after="0"/>
              <w:rPr>
                <w:sz w:val="10"/>
                <w:szCs w:val="10"/>
                <w:color w:val="auto"/>
              </w:rPr>
            </w:pPr>
          </w:p>
        </w:tc>
      </w:tr>
      <w:tr>
        <w:trPr>
          <w:trHeight w:val="173"/>
        </w:trPr>
        <w:tc>
          <w:tcPr>
            <w:tcW w:w="56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the Plans during the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Amount of related income tax benefit recognized during the period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5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cost of the Plans during the period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r>
      <w:tr>
        <w:trPr>
          <w:trHeight w:val="20"/>
        </w:trPr>
        <w:tc>
          <w:tcPr>
            <w:tcW w:w="5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Included in income tax benefits recognized in the thirteen-week periods ended March 28, 2026 and March 29, 2025 were tax deficiencies from stock-based awards of $151,000 and $51,000, respectively.</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March 28, 2026, there were 172,859 shares of the Company’s common stock reserved for issuance under the 2022 DSCP and 2,550,096 shares of the Company’s common stock reserved for issuance under the 2011 EIP.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restricted stock unit (“RSU”) awards with either a performance condition or a market condition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27, 2025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203,712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61,058</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(18,639)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28, 2026</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During the thirteen-week period ended March 28, 2026, the Company granted RSUs with a performance condition and RSUs with a market condition, as further described below. Outstanding RSUs at both December 27, 2025 and March 28, 2026 include RSUs with a performance condition and RSUs with a market condition, as further described below and in the Company’s 2025 Annual Report on Form 10-K.</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RSUs with a performance condition granted during the thirteen-week period ended March 28, 2026 may vest on January 31 of 2029, 2030 and 2031 based on growth in diluted earnings per share as compared to the results from the 2025 fiscal year, adjusted to reflect the add back of (i) the charge taken by the Company in the 2025 first quarter in connection with a supply chain fraud relating to the Company’s international freight forwarding operations; and (ii) impairment charges recorded in the Company’s 2025 fiscal year related to: the decision to actively market for sale Landstar Metro, S.A.P.I. de C.V., the Company’s wholly-owned Mexican operating subsidiary; the decision to wind-down the Landstar Blue TMS; and a non-controlling equity investment made by the Company in Cavnue, LLC, a privately held technology start-up company.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January 30, 2026, the Company granted 6,715 RSUs that vest based on a market condition. These RSUs may vest based on the achievement of a specific total shareholder return (“TSR”) compound annual growth rate, adjusted to reflect dividends (if any) paid during such periods and capital adjustments as may be necessary, and are eligible to vest annually starting after the sixth anniversary of the grant date and concluding after the tenth anniversary of the grant date. The fair value of this RSU award was determined at the time of grant based on the expected achievement of the market condition. With respect to these RSU awards, the Company reports compensation expense ratably over the service period of the award based on the number of units granted multiplied by the grant date fair value of the RSU. Previously recognized compensation cost would be reversed only if the employee did not complete the requisite service period due to termination of employment.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color w:val="auto"/>
        </w:rPr>
        <w:t>The Company recognized approximately $1,241,000 and $857,000 of share-based compensation expense related to RSU awards in the thirteen-week periods ended March 28, 2026 and March 29, 2025, respectively. As of March 28, 2026, there was a maximum of $56.9 million of total unrecognized compensation cost related to RSU awards granted under the Plans with an expected average remaining life of approximately 3.3</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years. With respect to RSU awards with a performance condition, the amount of future compensation expense to be recognized will be determined based on future operating results.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Non-vested Restricted Stock and Deferred Stock Units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the Company’s outstanding shares of non-vested restricted stock and Deferred Stock Units (defined below) under the Plans: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520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and Deferred 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200" w:type="dxa"/>
            <w:vAlign w:val="bottom"/>
          </w:tcPr>
          <w:p>
            <w:pPr>
              <w:spacing w:after="0"/>
              <w:rPr>
                <w:sz w:val="15"/>
                <w:szCs w:val="15"/>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27,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28,532</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(22,676)</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(1,226)</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28,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155.75</w:t>
            </w:r>
          </w:p>
        </w:tc>
      </w:tr>
      <w:tr>
        <w:trPr>
          <w:trHeight w:val="20"/>
        </w:trPr>
        <w:tc>
          <w:tcPr>
            <w:tcW w:w="5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the grant or the third, fourth and fifth anniversary of the date of the grant, in two equal annual installments on the first and second anniversary of the date of the grant or 100% on the first or third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the recipient’s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March 28, 2026, there was $7,340,000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2.3 years.</w:t>
      </w:r>
    </w:p>
    <w:p>
      <w:pPr>
        <w:spacing w:after="0" w:line="320"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provisions for income taxes for the 2026 and 2025 thirteen-week periods were based on estimated annual effective income tax rates of 24.9% and 24.3%, respectively, adjusted for discrete events, such as excess tax benefits or deficiencies resulting from stock-based awards. The effective income tax rate for the 2026 thirteen-week period was 25.2%. The effective income tax rate was higher than the statutory federal income tax rate of 21% in the 2026 period primarily attributable to state taxes. The effective income tax rate for the 2025 thirteen-week period was 24.7%. The effective income tax rate was higher than the statutory federal income tax rate of 21% in the 2025 period primarily attributable to state taxes.</w:t>
      </w:r>
    </w:p>
    <w:p>
      <w:pPr>
        <w:spacing w:after="0" w:line="32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Basic earnings per common share are based on the weighted average number of shares outstanding, which includes outstanding non-vested restricted stock and outstanding Deferred Stock Units. Diluted earnings per share are based on the weighted average number of common shares outstanding plus the dilutive effect of outstanding stock awards, if applicable. Outstanding RSUs were excluded from the calculation of diluted earnings per share for all periods because the performance metric requirements or market condition for vesting had not been satisfied. Accordingly, the Company had no reconciling items between the average number of common shares outstanding used to calculate basic earnings per common share and the average number of common shares and common share equivalents outstanding used to calculate diluted earnings per share during each of the 2026 and 2025 thirteen-week periods.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Cash Flow Information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the 2026 thirteen-week period, Landstar paid income taxes and interest of $442,000 and $1,233,000, respectively. During the 2025 thirteen-week period, Landstar paid income taxes and interest of $480,000 and $1,446,000, respectively. Landstar did not acquire any operating property by entering into finance leases in the 2026 or 2025 thirteen-week periods. During the 2026 thirteen-week period, the Company purchased its common stock at a total cost of $22,587,000, including $22,387,000 in cash purchases and accrued excise tax of $200,000, which is included in other current liabilities in the consolidated balance sheet at March 28, 2026. During the 2025 thirteen-week period, the Company purchased its common stock at a total cost of $60,945,000, including $60,361,000 in cash purchases and accrued excise tax of $584,000, which was included in other current liabilities in the consolidated balance sheet at March 29, 2025.</w:t>
      </w:r>
    </w:p>
    <w:p>
      <w:pPr>
        <w:spacing w:after="0" w:line="333"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reports the results of two operating segments: the transportation logistics segment and the insurance segment. The Company’s chief operating decision maker (“CODM”) is our Chief Executive Officer. The CODM evaluates each segment’s performance and makes decisions about resource allocations primarily based on operating income, which is the principal financial metric utilized to monitor budgeted versus actual results by segment of the Company. Asset information by segment is not typically provided to the CODM for purposes of evaluating performance or allocating resources, and therefore such information has not been presented.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information about the Company’s reportable business segments as of and for the thirteen-week periods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28, 2026 and March 29, 2025 (in thousands):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5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1,157,001</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$ 14,290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$1,171,291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11,294</w:t>
            </w: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1,157,001</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25,584</w:t>
            </w:r>
          </w:p>
        </w:tc>
        <w:tc>
          <w:tcPr>
            <w:tcW w:w="320" w:type="dxa"/>
            <w:vAlign w:val="bottom"/>
            <w:gridSpan w:val="2"/>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1,182,585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transportation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agents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claims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16,232</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3,179</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44,089</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9,147</w:t>
            </w:r>
          </w:p>
        </w:tc>
        <w:tc>
          <w:tcPr>
            <w:tcW w:w="320" w:type="dxa"/>
            <w:vAlign w:val="bottom"/>
            <w:gridSpan w:val="2"/>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5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1,137,745</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$ 14,757</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$1,152,502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11,579</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1,137,745</w:t>
            </w:r>
          </w:p>
        </w:tc>
        <w:tc>
          <w:tcPr>
            <w:tcW w:w="34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1,164,081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transportation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897,878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897,878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agents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costs, net of gains on asset sales/dispositions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claims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17,575</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10,203</w:t>
            </w:r>
          </w:p>
        </w:tc>
        <w:tc>
          <w:tcPr>
            <w:tcW w:w="320" w:type="dxa"/>
            <w:vAlign w:val="bottom"/>
            <w:gridSpan w:val="2"/>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w w:val="98"/>
              </w:rPr>
              <w:t>March 28,</w:t>
            </w: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6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$ 53,236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$ 39,419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and debt expense (income)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518</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52,718</w:t>
            </w:r>
          </w:p>
        </w:tc>
        <w:tc>
          <w:tcPr>
            <w:tcW w:w="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39,578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39" w:lineRule="auto"/>
        <w:tabs>
          <w:tab w:leader="none" w:pos="5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Interest and debt expense (income) includes (i) interest income earned on cash balances held by the transportation logistics segment of $778 and $1,668 in the 2026 and 2025 thirteen-week periods, respectively and (ii) consolidated total interest expense of $1,296 and $1,509 in the 2026 and 2025 thirteen-week periods, respectively.</w:t>
      </w:r>
    </w:p>
    <w:p>
      <w:pPr>
        <w:sectPr>
          <w:pgSz w:w="11900" w:h="16838" w:orient="portrait"/>
          <w:cols w:equalWidth="0" w:num="1">
            <w:col w:w="11100"/>
          </w:cols>
          <w:pgMar w:left="320" w:top="482" w:right="479" w:bottom="1440" w:gutter="0" w:footer="0" w:header="0"/>
        </w:sectPr>
      </w:pP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the thirteen-week periods ended March 28, 2026 and March 29, 2025, no single customer accounted for more than 10% of the Company’s consolidated revenue.</w:t>
      </w:r>
    </w:p>
    <w:p>
      <w:pPr>
        <w:spacing w:after="0" w:line="306"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accumulated other comprehensive loss, net of related income taxes, as of and for the thirteen-week period ended March 28, 2026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20" w:type="dxa"/>
            <w:vAlign w:val="bottom"/>
            <w:gridSpan w:val="4"/>
          </w:tcPr>
          <w:p>
            <w:pPr>
              <w:ind w:left="1380"/>
              <w:spacing w:after="0" w:line="149" w:lineRule="exact"/>
              <w:rPr>
                <w:sz w:val="20"/>
                <w:szCs w:val="20"/>
                <w:color w:val="auto"/>
              </w:rPr>
            </w:pPr>
            <w:r>
              <w:rPr>
                <w:rFonts w:ascii="Times New Roman" w:cs="Times New Roman" w:eastAsia="Times New Roman" w:hAnsi="Times New Roman"/>
                <w:sz w:val="14"/>
                <w:szCs w:val="14"/>
                <w:b w:val="1"/>
                <w:bCs w:val="1"/>
                <w:color w:val="auto"/>
              </w:rPr>
              <w:t>Holding Losses on</w:t>
            </w: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7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27, 2025</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(7,087</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 investment income due to the realization of previously unrealized gains and losses in the accompanying consolidated statements of income were not significant for the thirteen-week period ended March 28, 2026.</w:t>
      </w:r>
    </w:p>
    <w:p>
      <w:pPr>
        <w:spacing w:after="0" w:line="30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Investments include primarily investment-grade corporate bonds, asset-backed securities, commercial paper and U.S. treasury obligations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commercial paper and direct obligations of government agencies. Unrealized losses, net of unrealized gains, on the investments in the bond portfolio were $1,498,000 and $504,000 at March 28, 2026 and December 27, 2025, respectively.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amortized cost and fair values of available-for-sale investments are as follows at March 28, 2026 and December 27, 2025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March 28, 2026</w:t>
            </w:r>
          </w:p>
        </w:tc>
        <w:tc>
          <w:tcPr>
            <w:tcW w:w="48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8,571</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105,269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17,647</w:t>
            </w:r>
          </w:p>
        </w:tc>
        <w:tc>
          <w:tcPr>
            <w:tcW w:w="0" w:type="dxa"/>
            <w:vAlign w:val="bottom"/>
          </w:tcPr>
          <w:p>
            <w:pPr>
              <w:spacing w:after="0"/>
              <w:rPr>
                <w:sz w:val="1"/>
                <w:szCs w:val="1"/>
                <w:color w:val="auto"/>
              </w:rPr>
            </w:pPr>
          </w:p>
        </w:tc>
      </w:tr>
      <w:tr>
        <w:trPr>
          <w:trHeight w:val="223"/>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148,940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7"/>
              </w:rPr>
              <w:t>December 27, 2025</w:t>
            </w:r>
          </w:p>
        </w:tc>
        <w:tc>
          <w:tcPr>
            <w:tcW w:w="4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15,046</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103,425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23"/>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147,517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those available-for-sale investments with unrealized losses at March 28, 2026 and December 27, 2025, the following table summarizes the duration of the unrealized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7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600" w:type="dxa"/>
            <w:vAlign w:val="bottom"/>
          </w:tcPr>
          <w:p>
            <w:pPr>
              <w:spacing w:after="0"/>
              <w:rPr>
                <w:sz w:val="15"/>
                <w:szCs w:val="15"/>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60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55"/>
        </w:trPr>
        <w:tc>
          <w:tcPr>
            <w:tcW w:w="58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March 28, 2026</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8,342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$12,420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198"/>
        </w:trPr>
        <w:tc>
          <w:tcPr>
            <w:tcW w:w="5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49,810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11,536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obligations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17,647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71,535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19,878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91,413</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10,425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$13,193</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98"/>
        </w:trPr>
        <w:tc>
          <w:tcPr>
            <w:tcW w:w="5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Corporate bonds, commercial paper, and direct obligations of government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16,772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13,818</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24,243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43,783</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32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cost for finance leases and operating leases for the thirteen weeks ended March 28, 2026 were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$ 4,127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4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5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cost</w:t>
            </w:r>
          </w:p>
        </w:tc>
        <w:tc>
          <w:tcPr>
            <w:tcW w:w="4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3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income</w:t>
            </w:r>
          </w:p>
        </w:tc>
        <w:tc>
          <w:tcPr>
            <w:tcW w:w="35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operating lease income</w:t>
            </w:r>
          </w:p>
        </w:tc>
        <w:tc>
          <w:tcPr>
            <w:tcW w:w="35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3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60" w:type="dxa"/>
            <w:vAlign w:val="bottom"/>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lease classification on the Company’s consolidated balance sheet as of March 28, 2026 is as follows (in thousands):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w:t>
      </w:r>
    </w:p>
    <w:p>
      <w:pPr>
        <w:spacing w:after="0" w:line="261"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5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property, less accumulated depreciation and amortization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104,258</w:t>
            </w:r>
          </w:p>
        </w:tc>
        <w:tc>
          <w:tcPr>
            <w:tcW w:w="4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5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104,810</w:t>
            </w:r>
          </w:p>
        </w:tc>
        <w:tc>
          <w:tcPr>
            <w:tcW w:w="40" w:type="dxa"/>
            <w:vAlign w:val="bottom"/>
            <w:shd w:val="clear" w:color="auto" w:fill="CCEEFF"/>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the finance and operating leases to the finance and operating lease liabilities recorded on the balance sheet at March 28, 2026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$23,274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225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75,769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(1.6% to 6.4%)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69,266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552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43,145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finance and operating leases as of March 28, 2026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3.2</w:t>
            </w:r>
          </w:p>
        </w:tc>
        <w:tc>
          <w:tcPr>
            <w:tcW w:w="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w:t>
            </w:r>
          </w:p>
        </w:tc>
      </w:tr>
    </w:tbl>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the finance lease obligations as presented on the consolidated balance sheets, the Company had no outstanding debt as of March 28,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2026 and December 27, 2025.</w:t>
      </w:r>
    </w:p>
    <w:p>
      <w:pPr>
        <w:spacing w:after="0" w:line="207"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w:t>
      </w:r>
    </w:p>
    <w:p>
      <w:pPr>
        <w:spacing w:after="0" w:line="2"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Credit Agreement also includes an “accordion” feature providing for a possible increase of up to an aggregate amount of borrowing capacity of $600,000,000. As of March 28, 2026, the Company had no borrowings outstanding under the Credit Agreement.</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Short-term investments include $57,697,000 in current maturities of investments held by the Company’s insurance segment at March 28, 2026. The non-current portion of the bond portfolio of $89,745,000 is included in other assets. The short-term investments, together with $26,004,000 of non-current investments, provide collateral for the $75,331,000 of letters of credit issued to guarantee payment of insurance claims. As of March 28, 2026, Landstar also had $34,916,000 of additional letters of credit outstanding under the Company’s Credit Agreement.</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Change in Accounting Estimate for Self-Insured Claims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adverse effect of the increase in the cost of insurance claims resulting from unfavorable development of prior year self-insured claims estimates on operating income, net income and basic and diluted earnings per share set forth in the consolidated statements of income for the thirteen-week periods ended March 28, 2026 and March 29, 2025 (in thousands, except per share amounts):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580" w:type="dxa"/>
            <w:vAlign w:val="bottom"/>
          </w:tcPr>
          <w:p>
            <w:pPr>
              <w:spacing w:after="0"/>
              <w:rPr>
                <w:sz w:val="10"/>
                <w:szCs w:val="10"/>
                <w:color w:val="auto"/>
              </w:rPr>
            </w:pPr>
          </w:p>
        </w:tc>
        <w:tc>
          <w:tcPr>
            <w:tcW w:w="8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40" w:type="dxa"/>
            <w:vAlign w:val="bottom"/>
          </w:tcPr>
          <w:p>
            <w:pPr>
              <w:spacing w:after="0"/>
              <w:rPr>
                <w:sz w:val="10"/>
                <w:szCs w:val="10"/>
                <w:color w:val="auto"/>
              </w:rPr>
            </w:pPr>
          </w:p>
        </w:tc>
      </w:tr>
      <w:tr>
        <w:trPr>
          <w:trHeight w:val="173"/>
        </w:trPr>
        <w:tc>
          <w:tcPr>
            <w:tcW w:w="6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8,548</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bl>
    <w:p>
      <w:pPr>
        <w:spacing w:after="0" w:line="19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unfavorable development of prior years’ claims during the thirteen-week period ended March 28, 2026 was primarily attributable to cargo loss experience as a result of fraud and theft in the supply chain and several specific commercial trucking claims.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Held for Sale Subsidiary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During the 2025 fiscal year, the Company entered into an arrangement with a financial advisor to actively market its Mexican subsidiary, Landstar Metro, S.A.P.I. de C.V. (“Landstar Metro”) and to consider other strategic alternatives for this subsidiary, which may involve a sale or other disposition in whole or in part of Landstar Metro during the Company’s 2026 fiscal year. The Company determined that this planned divestiture does not represent a strategic shift that would be expected to have a significant effect on our consolidated results of operations, and therefore the results of Landstar Metro are not reported as discontinued operations. It is not anticipated that a sale or other disposition of Landstar Metro will adversely affect the Company’s ability to provide U.S.-Mexico cross-border services, given that Landstar Metro is principally engaged in intra-Mexico truck transportation services.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2025 third and fourth fiscal quarters, based on the expected fair value of Landstar Metro, net of anticipated costs to sell, the Company recognized impairments on assets held for sale in the aggregate of $10,678,000 included in impairment of intangible and other assets within the Company’s consolidated statements of income for the 2025 third and fourth fiscal quarters. In the 2026 thirteen-week period, the Company recognized an additional impairment on assets held for sale of $1,054,000 included in selling, general and administrative costs within the Company’s consolidated statements of income. No assurances can be provided that there will not be additional charges and expenses incurred by the Company in connection with this sale process or upon any ultimate disposition of Landstar Metro.</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March 28, 2026, the assets and liabilities of Landstar Metro are presented as held for sale at carrying value. A summary of assets and liabilities associated with Landstar Metro that are held for sale, is presented below (in thousands):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As of March 28,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property</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Total assets held for sale</w:t>
            </w:r>
            <w:r>
              <w:rPr>
                <w:rFonts w:ascii="Times New Roman" w:cs="Times New Roman" w:eastAsia="Times New Roman" w:hAnsi="Times New Roman"/>
                <w:sz w:val="22"/>
                <w:szCs w:val="22"/>
                <w:color w:val="auto"/>
                <w:vertAlign w:val="superscript"/>
              </w:rPr>
              <w:t>(1)</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liabilities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Total liabilities held for sale</w:t>
            </w:r>
            <w:r>
              <w:rPr>
                <w:rFonts w:ascii="Times New Roman" w:cs="Times New Roman" w:eastAsia="Times New Roman" w:hAnsi="Times New Roman"/>
                <w:sz w:val="22"/>
                <w:szCs w:val="22"/>
                <w:color w:val="auto"/>
                <w:vertAlign w:val="superscript"/>
              </w:rPr>
              <w:t>(1)</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Cumulative translation loss of foreign entities held for sale </w:t>
            </w:r>
            <w:r>
              <w:rPr>
                <w:rFonts w:ascii="Times New Roman" w:cs="Times New Roman" w:eastAsia="Times New Roman" w:hAnsi="Times New Roman"/>
                <w:sz w:val="22"/>
                <w:szCs w:val="22"/>
                <w:color w:val="auto"/>
                <w:vertAlign w:val="superscript"/>
              </w:rPr>
              <w:t>(2)</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Assets and liabilities held for sale are separately presented on the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540" w:right="140" w:hanging="424"/>
        <w:spacing w:after="0" w:line="224" w:lineRule="auto"/>
        <w:tabs>
          <w:tab w:leader="none" w:pos="5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Cumulative translation loss of foreign entities held for sale is included within accumulated other comprehensive loss on the consolidated balance sheets.</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expands disclosures about certain categories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The Company is currently evaluating the impact of ASU 2024-03 on its consolidated financial statements and disclosures.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interim consolidated financial statements and notes thereto included herein, and with the Company’s audited financial statements and notes thereto for the fiscal year ended December 27, 2025 and Management’s Discussion and Analysis of Financial Condition and Results of Operations included in the 2025 Annual Report on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10-Q contain forward-looking statements, such as statements which relate to Landstar’s business objectives, plans, strategies and expectations. Terms such as “anticipates,” “believes,” “estimates,” “intention,”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acquisitions and investments; and other operational, financial or legal risks or uncertainties detailed in Landstar’s Form 10-K for the 2025 fiscal year, described in Item 1A “Risk Factors,” in this report or in Landstar’s other Securities and Exchange Commission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Landstar System, Inc. and its subsidiary, Landstar System Holdings, Inc. (collectively referred to herein with their subsidiaries and other affiliated companies as “Landstar” or the “Company”), is a technology-enabled, asset-light provider of freight transportation and logistics solutions focused on safety, security and service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information coordination and are delivered through a network of approximately 980 independent commission sales agents and over 72,000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Landstar markets its freight transportation and logistics services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 freight transportation and logistics business primarily throughout North America with revenue of $4.7 billion during the most recently completed fiscal year. The Company reports the results of two operating segments: the transportation logistics segment and the insurance segment.</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transportation logistics segment provides a wide range of freight transportation and logistics services. Transportation services are provided by Landstar’s “Operating Subsidiaries”: Landstar Ranger, Inc., Landstar Inway, Inc., Landstar Ligon, Inc., Landstar Gemini, Inc., Landstar Transportation Logistics, Inc., Landstar Global Logistics, Inc., Landstar Express America, Inc., Landstar Canada, Inc.,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Landstar Metro, S.A.P.I. de C.V., and Landstar Blue, LLC. Transportation services offered by the Company include truckload, less-than-truckload and other truck transportation, rail intermodal, air cargo, ocean cargo, expedited ground and air delivery of time-critical freight, heavy-haul/specialized, hazardous materials (“haz-mat”), cold chain/temperature-controlled, U.S.-Canada and U.S.-Mexico cross-border,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the thirteen weeks ended March 28, 2026, revenue generated by BCO Independent Contractors, Truck Brokerage Carriers and railroads represented approximately 41%, 52% and 2%, respectively, of the Company’s consolidated revenue. Collectively, revenue generated by air and ocean cargo carriers represented approximately 4% of the Company’s consolidated revenue in the thirteen-week period ended March 28, 2026.</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the thirteen-week period ended March 28,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Financial Condition and Results of Operations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believes the Company’s success principally depends on its ability to generate freight transportation opportunities through its network of independent commission sales agents and to deliver freight safely, securely and efficiently utilizing BCO Independent Contractors and other third party capacity providers. Management believes the most significant factors to the Company’s success include increasing revenue, sourcing capacity, empowering its network through technology-based tools and controlling costs, including insurance and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(“Million Dollar Agents”).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technologies they may use to grow revenue and increase efficiencies at their businesses. During the 2025 fiscal year, 457 independent commission sales agents generated $1 million or more of Landstar revenue and thus qualified as Million Dollar Agents. During the 2025 fiscal year, the average revenue generated by a Million Dollar Agent was $9,827,000 and revenue generated by Million Dollar Agents in the aggregate represented 95% of consolidated revenue.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0" w:type="dxa"/>
            <w:vAlign w:val="bottom"/>
          </w:tcPr>
          <w:p>
            <w:pPr>
              <w:spacing w:after="0"/>
              <w:rPr>
                <w:sz w:val="10"/>
                <w:szCs w:val="10"/>
                <w:color w:val="auto"/>
              </w:rPr>
            </w:pPr>
          </w:p>
        </w:tc>
      </w:tr>
      <w:tr>
        <w:trPr>
          <w:trHeight w:val="173"/>
        </w:trPr>
        <w:tc>
          <w:tcPr>
            <w:tcW w:w="1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r>
      <w:tr>
        <w:trPr>
          <w:trHeight w:val="176"/>
        </w:trPr>
        <w:tc>
          <w:tcPr>
            <w:tcW w:w="310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Revenue generated through (in thousands):</w:t>
            </w:r>
          </w:p>
        </w:tc>
        <w:tc>
          <w:tcPr>
            <w:tcW w:w="26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16"/>
        </w:trPr>
        <w:tc>
          <w:tcPr>
            <w:tcW w:w="57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603,406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594,795</w:t>
            </w:r>
          </w:p>
        </w:tc>
      </w:tr>
      <w:tr>
        <w:trPr>
          <w:trHeight w:val="216"/>
        </w:trPr>
        <w:tc>
          <w:tcPr>
            <w:tcW w:w="57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368,569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340,408</w:t>
            </w:r>
          </w:p>
        </w:tc>
      </w:tr>
      <w:tr>
        <w:trPr>
          <w:trHeight w:val="216"/>
        </w:trPr>
        <w:tc>
          <w:tcPr>
            <w:tcW w:w="57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23,788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22,436</w:t>
            </w:r>
          </w:p>
        </w:tc>
      </w:tr>
      <w:tr>
        <w:trPr>
          <w:trHeight w:val="216"/>
        </w:trPr>
        <w:tc>
          <w:tcPr>
            <w:tcW w:w="5700" w:type="dxa"/>
            <w:vAlign w:val="bottom"/>
            <w:gridSpan w:val="4"/>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86,518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92,079</w:t>
            </w:r>
          </w:p>
        </w:tc>
      </w:tr>
      <w:tr>
        <w:trPr>
          <w:trHeight w:val="223"/>
        </w:trPr>
        <w:tc>
          <w:tcPr>
            <w:tcW w:w="5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1,082,281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1,049,718</w:t>
            </w:r>
          </w:p>
        </w:tc>
        <w:tc>
          <w:tcPr>
            <w:tcW w:w="200" w:type="dxa"/>
            <w:vAlign w:val="bottom"/>
          </w:tcPr>
          <w:p>
            <w:pPr>
              <w:spacing w:after="0"/>
              <w:rPr>
                <w:sz w:val="19"/>
                <w:szCs w:val="19"/>
                <w:color w:val="auto"/>
              </w:rPr>
            </w:pPr>
          </w:p>
        </w:tc>
      </w:tr>
      <w:tr>
        <w:trPr>
          <w:trHeight w:val="216"/>
        </w:trPr>
        <w:tc>
          <w:tcPr>
            <w:tcW w:w="57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19,314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17,487</w:t>
            </w:r>
          </w:p>
        </w:tc>
      </w:tr>
      <w:tr>
        <w:trPr>
          <w:trHeight w:val="216"/>
        </w:trPr>
        <w:tc>
          <w:tcPr>
            <w:tcW w:w="57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47,969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65,637</w:t>
            </w:r>
          </w:p>
        </w:tc>
      </w:tr>
      <w:tr>
        <w:trPr>
          <w:trHeight w:val="216"/>
        </w:trPr>
        <w:tc>
          <w:tcPr>
            <w:tcW w:w="5700" w:type="dxa"/>
            <w:vAlign w:val="bottom"/>
            <w:gridSpan w:val="4"/>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21,727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19,660</w:t>
            </w: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1,171,291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1,152,502</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5700" w:type="dxa"/>
            <w:vAlign w:val="bottom"/>
            <w:gridSpan w:val="4"/>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Revenue on loads hauled via BCO Independent Contractors included</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57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 total truck transportation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475,348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427,057</w:t>
            </w:r>
          </w:p>
        </w:tc>
      </w:tr>
      <w:tr>
        <w:trPr>
          <w:trHeight w:val="176"/>
        </w:trPr>
        <w:tc>
          <w:tcPr>
            <w:tcW w:w="57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Number of loads: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7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277,711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288,063</w:t>
            </w:r>
          </w:p>
        </w:tc>
      </w:tr>
      <w:tr>
        <w:trPr>
          <w:trHeight w:val="216"/>
        </w:trPr>
        <w:tc>
          <w:tcPr>
            <w:tcW w:w="5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114,554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117,245</w:t>
            </w:r>
          </w:p>
        </w:tc>
      </w:tr>
      <w:tr>
        <w:trPr>
          <w:trHeight w:val="216"/>
        </w:trPr>
        <w:tc>
          <w:tcPr>
            <w:tcW w:w="570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34,925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35,580</w:t>
            </w:r>
          </w:p>
        </w:tc>
      </w:tr>
      <w:tr>
        <w:trPr>
          <w:trHeight w:val="216"/>
        </w:trPr>
        <w:tc>
          <w:tcPr>
            <w:tcW w:w="5700" w:type="dxa"/>
            <w:vAlign w:val="bottom"/>
            <w:gridSpan w:val="4"/>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44,012</w:t>
            </w:r>
          </w:p>
        </w:tc>
      </w:tr>
      <w:tr>
        <w:trPr>
          <w:trHeight w:val="27"/>
        </w:trPr>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7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484,900</w:t>
            </w:r>
          </w:p>
        </w:tc>
      </w:tr>
      <w:tr>
        <w:trPr>
          <w:trHeight w:val="216"/>
        </w:trPr>
        <w:tc>
          <w:tcPr>
            <w:tcW w:w="57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57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9,120</w:t>
            </w:r>
          </w:p>
        </w:tc>
      </w:tr>
      <w:tr>
        <w:trPr>
          <w:trHeight w:val="223"/>
        </w:trPr>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486,880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500,170</w:t>
            </w:r>
          </w:p>
        </w:tc>
        <w:tc>
          <w:tcPr>
            <w:tcW w:w="20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5700" w:type="dxa"/>
            <w:vAlign w:val="bottom"/>
            <w:gridSpan w:val="4"/>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Loads hauled via BCO Independent Contractors included in total truck</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4"/>
        </w:trPr>
        <w:tc>
          <w:tcPr>
            <w:tcW w:w="57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207,610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194,070</w:t>
            </w:r>
          </w:p>
        </w:tc>
      </w:tr>
      <w:tr>
        <w:trPr>
          <w:trHeight w:val="175"/>
        </w:trPr>
        <w:tc>
          <w:tcPr>
            <w:tcW w:w="57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Revenue per load: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7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transportation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7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Truckload: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Van equipment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5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Unsided/platform equipment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2,903</w:t>
            </w:r>
          </w:p>
        </w:tc>
      </w:tr>
      <w:tr>
        <w:trPr>
          <w:trHeight w:val="216"/>
        </w:trPr>
        <w:tc>
          <w:tcPr>
            <w:tcW w:w="570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Less-than-truckload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5700" w:type="dxa"/>
            <w:vAlign w:val="bottom"/>
            <w:gridSpan w:val="4"/>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Other truck transportation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2,092</w:t>
            </w:r>
          </w:p>
        </w:tc>
      </w:tr>
      <w:tr>
        <w:trPr>
          <w:trHeight w:val="216"/>
        </w:trPr>
        <w:tc>
          <w:tcPr>
            <w:tcW w:w="57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truck transportation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57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57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7,197</w:t>
            </w:r>
          </w:p>
        </w:tc>
      </w:tr>
      <w:tr>
        <w:trPr>
          <w:trHeight w:val="216"/>
        </w:trPr>
        <w:tc>
          <w:tcPr>
            <w:tcW w:w="57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Revenue per load on loads hauled via BCO Independent Contractors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2,201</w:t>
            </w: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37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Revenue by capacity type (as a % of total revenue):</w:t>
            </w:r>
          </w:p>
        </w:tc>
        <w:tc>
          <w:tcPr>
            <w:tcW w:w="144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Truck capacity providers:</w:t>
            </w:r>
          </w:p>
        </w:tc>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2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Truck Brokerage Carriers</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intermodal</w:t>
            </w:r>
          </w:p>
        </w:tc>
        <w:tc>
          <w:tcPr>
            <w:tcW w:w="2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Ocean and air cargo carriers</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5" w:lineRule="exact"/>
        <w:rPr>
          <w:sz w:val="20"/>
          <w:szCs w:val="20"/>
          <w:color w:val="auto"/>
        </w:rPr>
      </w:pPr>
    </w:p>
    <w:p>
      <w:pPr>
        <w:ind w:left="540" w:hanging="424"/>
        <w:spacing w:after="0" w:line="220" w:lineRule="auto"/>
        <w:tabs>
          <w:tab w:leader="none" w:pos="54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2" w:lineRule="exact"/>
        <w:rPr>
          <w:rFonts w:ascii="Times New Roman" w:cs="Times New Roman" w:eastAsia="Times New Roman" w:hAnsi="Times New Roman"/>
          <w:sz w:val="27"/>
          <w:szCs w:val="27"/>
          <w:color w:val="auto"/>
          <w:vertAlign w:val="superscript"/>
        </w:rPr>
      </w:pPr>
    </w:p>
    <w:p>
      <w:pPr>
        <w:ind w:left="540" w:right="80" w:hanging="424"/>
        <w:spacing w:after="0" w:line="200" w:lineRule="auto"/>
        <w:tabs>
          <w:tab w:leader="none" w:pos="54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primarily reinsurance premium revenue generated by the insurance segment and intra-Mexico transportation services revenue generated by Landstar Metro.</w:t>
      </w:r>
    </w:p>
    <w:p>
      <w:pPr>
        <w:sectPr>
          <w:pgSz w:w="11900" w:h="16838" w:orient="portrait"/>
          <w:cols w:equalWidth="0" w:num="1">
            <w:col w:w="11060"/>
          </w:cols>
          <w:pgMar w:left="320" w:top="482" w:right="519" w:bottom="1440" w:gutter="0" w:footer="0" w:header="0"/>
        </w:sectPr>
      </w:pP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Purchased transportation</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Also critical to the Company’s success is its ability to secure capacity, particularly truck capacity, at rates that allow the Company to profitably transport customers’ freight. The following table summarizes the number of available truck capacity providers on the dates indicated:</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73"/>
        </w:trPr>
        <w:tc>
          <w:tcPr>
            <w:tcW w:w="66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BCO Independent Contractors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Truck Brokerage Carriers: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Approved and active </w:t>
            </w:r>
            <w:r>
              <w:rPr>
                <w:rFonts w:ascii="Times New Roman" w:cs="Times New Roman" w:eastAsia="Times New Roman" w:hAnsi="Times New Roman"/>
                <w:sz w:val="25"/>
                <w:szCs w:val="25"/>
                <w:color w:val="auto"/>
                <w:vertAlign w:val="superscript"/>
              </w:rPr>
              <w:t>(1)</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37,647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47,323</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approved</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27,420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33,275</w:t>
            </w:r>
          </w:p>
        </w:tc>
      </w:tr>
      <w:tr>
        <w:trPr>
          <w:trHeight w:val="27"/>
        </w:trPr>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65,067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80,598</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truck capacity providers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88,469</w:t>
            </w:r>
          </w:p>
        </w:tc>
        <w:tc>
          <w:tcPr>
            <w:tcW w:w="4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 provided by BCO Independent Contractors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8,476</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8,620</w:t>
            </w:r>
          </w:p>
        </w:tc>
      </w:tr>
    </w:tbl>
    <w:p>
      <w:pPr>
        <w:spacing w:after="0" w:line="14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refers to Truck Brokerage Carriers who moved at least one load in the 180 days immediately preceding the fiscal quarter end.</w:t>
      </w:r>
    </w:p>
    <w:p>
      <w:pPr>
        <w:spacing w:after="0" w:line="19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Commissions to agents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Commissions to agents are based on contractually agreed-upon percentages of (i) revenue, (ii) revenue less the cost of purchased transportation, or</w:t>
      </w:r>
    </w:p>
    <w:p>
      <w:pPr>
        <w:spacing w:after="0" w:line="39" w:lineRule="exact"/>
        <w:rPr>
          <w:sz w:val="20"/>
          <w:szCs w:val="20"/>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a contractually agreed upon percentage of revenue retained by Landstar and the cost of purchased transportation (the “retention</w:t>
      </w:r>
    </w:p>
    <w:p>
      <w:pPr>
        <w:spacing w:after="0" w:line="9" w:lineRule="exact"/>
        <w:rPr>
          <w:rFonts w:ascii="Times New Roman" w:cs="Times New Roman" w:eastAsia="Times New Roman" w:hAnsi="Times New Roman"/>
          <w:sz w:val="18"/>
          <w:szCs w:val="18"/>
          <w:color w:val="auto"/>
        </w:rPr>
      </w:pPr>
    </w:p>
    <w:p>
      <w:pPr>
        <w:jc w:val="both"/>
        <w:ind w:left="12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agents are recognized over the freight transit period as the performance obligation to the customer is completed.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costs, net of gains on asset sales/dispositions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Maintenance costs for Company-provided trailing equipment, the provision for uncollectible advances and other receivables due from BCO Independent Contractors and independent commission sales agents and recruiting and qualification costs for BCO Independent Contractors are the largest components of other operating costs. Also included in other operating costs are trailer rental costs and gains/losses, if any, on sales of Company-owned trailing equipment.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claims</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With respect to insurance and claims cost, potential liability associated with accidents in the trucking industry is severe and occurrences are unpredictable.</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Landstar retains liability through a self-insured retention for commercial trucking claims up to $5 million per occurrence. The Company also maintains third party insurance arrangements providing coverage for commercial trucking liabilities in excess of $5 million.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All applicable third party insurance arrangements with a policy period ending April 30, 2026, have been amended to provide for a policy period ending May 31, 2026, as reflected below.</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Effective May 1, 2023, the Company entered into a three year commercial auto liability insurance arrangement for losses incurred between</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$5 million and $10 million (the “2023 Initial Excess Policy”) with a third party insurance company. For commercial trucking claims incurred on or after May 1, 2023 through May 31, 2026, the 2023 Initial Excess Policy provides for an aggregate deductible of $18 million over the thirty-seven-month term ending May 31, 2026. After payment of the deductible, the 2023 Initial Excess Policy provides for a limit for a single loss of $5 million, with an aggregate limit of $15 million for the thirty-seven-month term ending May 31, 2026.</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2026, the Company experienced an increase of approximately $22 million, or approximately 400%, in the premiums charged by third party insurance companies to the Company for excess coverage for commercial trucking liabilities in excess of $10 million.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2026, the Company would have an aggregate financial exposure of approximately $36 million. Within the Company’s third party insurance arrangements providing excess coverage for commercial trucking liabilities, structured arrangements with third party reinsurers within a specific loss layer may also include provisions that require additional payments of premium in the event of unfavorable loss experience or a refund of premium in the event of favorable loss experience.</w:t>
      </w:r>
    </w:p>
    <w:p>
      <w:pPr>
        <w:spacing w:after="0" w:line="188"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7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During the thirteen-week period ended March 28, 2026, employee compensation and benefits accounted for approximately 66%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in current and periodic reports filed with the SEC, during the last week of the Company’s 2025 first quarter, the Company identified a supply chain fraud relating to the Company’s international freight forwarding operations. Selling, general and administrative costs during the thirteen-week period ended March 29, 2025 included a $4.8 million expense related to this matter.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primarily relate to depreciation of trailing equipment and information technology hardware and software.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11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Profit, Variable Contribution, Gross Profit Margin and Variable Contribution Margin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reconciliations of gross profit to variable contribution and gross profit margin to variable contribution margin are each presented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1,171,291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1,152,502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906,997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897,878</w:t>
            </w:r>
          </w:p>
        </w:tc>
        <w:tc>
          <w:tcPr>
            <w:tcW w:w="0" w:type="dxa"/>
            <w:vAlign w:val="bottom"/>
          </w:tcPr>
          <w:p>
            <w:pPr>
              <w:spacing w:after="0"/>
              <w:rPr>
                <w:sz w:val="1"/>
                <w:szCs w:val="1"/>
                <w:color w:val="auto"/>
              </w:rPr>
            </w:pPr>
          </w:p>
        </w:tc>
      </w:tr>
      <w:tr>
        <w:trPr>
          <w:trHeight w:val="216"/>
        </w:trPr>
        <w:tc>
          <w:tcPr>
            <w:tcW w:w="5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Commissions to agents</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92,143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93,314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costs of revenue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999,140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991,192</w:t>
            </w:r>
          </w:p>
        </w:tc>
        <w:tc>
          <w:tcPr>
            <w:tcW w:w="0" w:type="dxa"/>
            <w:vAlign w:val="bottom"/>
          </w:tcPr>
          <w:p>
            <w:pPr>
              <w:spacing w:after="0"/>
              <w:rPr>
                <w:sz w:val="1"/>
                <w:szCs w:val="1"/>
                <w:color w:val="auto"/>
              </w:rPr>
            </w:pPr>
          </w:p>
        </w:tc>
      </w:tr>
      <w:tr>
        <w:trPr>
          <w:trHeight w:val="216"/>
        </w:trPr>
        <w:tc>
          <w:tcPr>
            <w:tcW w:w="5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Trailing equipment depreciation</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6,977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16"/>
        </w:trPr>
        <w:tc>
          <w:tcPr>
            <w:tcW w:w="594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Insurance-related costs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35,938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 of revenue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of revenue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7"/>
              </w:rPr>
              <w:t>1,058,749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1,054,197</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other costs of revenue</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59,609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63,005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172,151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161,310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Variable contribution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40" w:hanging="424"/>
        <w:spacing w:after="0" w:line="220" w:lineRule="auto"/>
        <w:tabs>
          <w:tab w:leader="none" w:pos="5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spacing w:after="0" w:line="2" w:lineRule="exact"/>
        <w:rPr>
          <w:rFonts w:ascii="Times New Roman" w:cs="Times New Roman" w:eastAsia="Times New Roman" w:hAnsi="Times New Roman"/>
          <w:sz w:val="27"/>
          <w:szCs w:val="27"/>
          <w:color w:val="auto"/>
          <w:vertAlign w:val="superscript"/>
        </w:rPr>
      </w:pPr>
    </w:p>
    <w:p>
      <w:pPr>
        <w:ind w:left="540" w:right="20"/>
        <w:spacing w:after="0" w:line="25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45% of the Company’s consolidated revenue in the thirteen-week period ended March 28, 2026 was generated under transactions that pay a fixed percentage of revenue to the third party capacity provider and/or agents while 55% was generated under transactions that pay a variable percentage of revenue to the third party capacity provider and/or agents.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income as a percentage of gross profit and operating income as a percentage of variable contribution</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160" w:type="dxa"/>
            <w:vAlign w:val="bottom"/>
          </w:tcPr>
          <w:p>
            <w:pPr>
              <w:spacing w:after="0"/>
              <w:rPr>
                <w:sz w:val="10"/>
                <w:szCs w:val="10"/>
                <w:color w:val="auto"/>
              </w:rPr>
            </w:pPr>
          </w:p>
        </w:tc>
        <w:tc>
          <w:tcPr>
            <w:tcW w:w="1300" w:type="dxa"/>
            <w:vAlign w:val="bottom"/>
            <w:tcBorders>
              <w:top w:val="single" w:sz="8" w:color="auto"/>
            </w:tcBorders>
            <w:gridSpan w:val="3"/>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20" w:type="dxa"/>
            <w:vAlign w:val="bottom"/>
          </w:tcPr>
          <w:p>
            <w:pPr>
              <w:spacing w:after="0"/>
              <w:rPr>
                <w:sz w:val="10"/>
                <w:szCs w:val="10"/>
                <w:color w:val="auto"/>
              </w:rPr>
            </w:pPr>
          </w:p>
        </w:tc>
      </w:tr>
      <w:tr>
        <w:trPr>
          <w:trHeight w:val="173"/>
        </w:trPr>
        <w:tc>
          <w:tcPr>
            <w:tcW w:w="6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112,542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98,305</w:t>
            </w: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53,236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39,419</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gross profit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47.3%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Variable contribution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5"/>
              </w:rPr>
              <w:t>172,151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161,310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53,236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39,419</w:t>
            </w:r>
          </w:p>
        </w:tc>
      </w:t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as % of variable contribution</w:t>
            </w: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30.9%</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w:t>
            </w:r>
          </w:p>
        </w:tc>
      </w:tr>
    </w:tbl>
    <w:p>
      <w:pPr>
        <w:spacing w:after="0" w:line="17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increase in operating income as a percentage of gross profit from the 2025 thirteen-week period to the 2026 thirteen-week period resulted from the increase of operating income at a more rapid percentage rate than the increase in gross profit, as the Company was able to scale its fixed cost infrastructure, primarily certain components of selling, general and administrative costs, across a larger gross profit base, and the impact of the supply chain fraud matter in the 2025 thirteen-week period and decreased insurance and claims costs in the 2026 thirteen-week period.</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increase in operating income as a percentage of variable contribution from the 2025 thirteen-week period to the 2026 thirteen-week period resulted from the increase of operating income at a more rapid percentage rate than the increase in variable contribution, as the Company was able to scale its fixed cost infrastructure, primarily certain components of selling, general and administrative costs across a larger variable contribution base, and the impact of the supply chain fraud matter in the 2025 thirteen-week period and decreased insurance and claims costs in the 2026 thirteen-week period.</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THIRTEEN WEEKS ENDED MARCH 28, 2026 COMPARED TO THIRTEEN WEEKS ENDED MARCH 29, 2025</w:t>
      </w:r>
    </w:p>
    <w:p>
      <w:pPr>
        <w:spacing w:after="0" w:line="11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Revenue for the 2026 thirteen-week period was $1,171,291,000, an increase of $18,789,000, or 2%, compared to the 2025 thirteen-week period. Transportation revenue increased $19,256,000, or 2%. The increase in transportation revenue was attributable to an increased revenue per load of approximately 4%, while the number of loads hauled decreased approximately 3% as compared to the 2025 thirteen-week period. Reinsurance premiums were $14,290,000 and $14,757,000 for the 2026 and 2025 thirteen-week periods, respectively. The decrease in revenue from reinsurance premiums was primarily attributable to a decrease in the average number of trucks provided by BCO Independent Contractors in the 2026 thirteen-week period compared to the 2025 thirteen-week period.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Truck transportation revenue generated by BCO Independent Contractors and Truck Brokerage Carriers (together, the “third party truck capacity providers”) for the 2026 thirteen-week period was $1,082,281,000, representing 92% of total revenue, an increase of $32,563,000, or 3%, compared to the 2025 thirteen-week period. Revenue per load on loads hauled by third party truck capacity providers increased approximately 6% in the 2026 thirteen-week period compared to the 2025 thirteen-week period, while the number of loads hauled by third party truck capacity providers decreased approximately 2% in the 2026 thirteen-week period compared to the 2025 thirteen-week period.</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increase in revenue per load on loads hauled via truck was primarily due to increased revenue per load on loads hauled via unsided/platform equipment, which was partially attributable to an increase in the percentage of revenue contributed by heavy/specialized equipment, which typically has a higher revenue per load than unsided/platform loadings transported using standard flatbed and other less specialized pieces of platform equipment. During the 2026 thirteen-week period, revenue per load on loads hauled via unsided/platform equipment increased 11%, on less-than-truckload loadings increased 8% and on loads hauled via van equipment increased 5%, while revenue per load on other truck transportation services decreased 11%, in each case, as compared to the 2025 thirteen-week period.</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decrease in the number of loads hauled via truck for the 2026 thirteen-week period compared to the 2025 thirteen-week period was primarily due to decreased demand from the 2025 thirteen-week period for the Company’s van, unsided/platform and less-than-truckload services and, secondarily, due to efforts by customers in the 2025 first quarter to “pull-forward” shipments typically scheduled to occur later in the year in an effort to avoid the potential impact of tariffs that subsequently may have become effective in fiscal year 2025. Loads hauled via van equipment decreased 4%, loads hauled via unsided/platform equipment decreased 2% and loads hauled via less-than-truckload loadings decreased 2%, while loads hauled via other truck transportation services increased 5%, in each case, as compared to the 2025 thirteen-week period.</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$26,691,000 and $26,925,000 in the 2026 and 2025 thirteen-week periods, respectively. It should be noted that billings to many customers of the Company’s truck brokerage services include a single all-in rate that do not separately identify fuel surcharges on loads hauled via Truck Brokerage Carriers. Accordingly, the overall impact of changes in fuel prices on revenue and revenue per load on loads hauled via truck is likely to be greater than that indicated.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Transportation revenue generated by rail intermodal, air cargo and ocean cargo carriers (collectively, the “multimode capacity providers”) for the</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2026 thirteen-week period was $67,283,000, or 6% of total revenue, a decrease of $15,841,000, or 19%, compared to the 2025 thirteen-week period. The number of loads hauled by multimode capacity providers decreased approximately 13% in the 2026 thirteen-week period compared to the 2025 thirteen-week period, and revenue per load on revenue generated by multimode capacity providers decreased approximately 7% over the same period. The decrease in the number of loads hauled by multimode capacity providers was due to a 31% decrease in ocean loadings and a 12% decrease in air loadings, while rail loadings increased 7%. The 31% decrease in ocean loadings was broad-based with decreases at several customers, which the Company partially attributes to efforts by customers in the 2025 first quarter to “pull-forward” shipments typically scheduled to occur later in the year in an effort to avoid the potential impact of tariffs that subsequently may have become effective in fiscal year 2025. The 12% decrease in air loadings was primarily attributable to decreases at one specific agency. The 7% increase in rail loadings was primarily attributable to increased loadings at one specific agency. Revenue per load on loads hauled via air decreased approximately 3%, while ocean and rail intermodal increased approximately 4% and 3%, respectively, during the 2026 thirteen-week period as compared to the 2025 thirteen-week period. The decrease in revenue per load on loads hauled by air cargo carriers was primarily attributable to decreases at several specific customers during the 2026 thirteen-week period. The increase in revenue per load on loads hauled by ocean was primarily attributable to increases at several customers during the 2026 thirteen-week period. The increase in revenue per load on loads hauled by rail intermodal carriers was broad-based with increases at multiple customers during the 2026 thirteen-week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w:t>
      </w:r>
    </w:p>
    <w:p>
      <w:pPr>
        <w:spacing w:after="0" w:line="19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Purchased transportation was 77.4% and 77.9% of revenue in the 2026 and 2025 thirteen-week periods, respectively. The decrease in purchased transportation as a percentage of revenue was primarily due to an increased percentage of revenue generated by BCO Independent Contractors, which typically has a lower rate of purchased transportation than Truck Brokerage Carriers. Commissions to agents were 7.9% and 8.1% of revenue in the 2026 and 2025 thirteen-week periods, respectively. The decrease in commissions to agents as a percentage of revenue was primarily attributable to an increased cost of purchased transportation as a percentage of revenue on revenue generated by Truck Brokerage Carriers.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Investment income was $2,974,000 and $3,598,000 in the 2026 and 2025 thirteen-week periods, respectively. The decrease in investment income was attributable to a lower average investment balance held by the insurance segment in the 2026 thirteen-week period and lower average rates of return on investments during the 2026 thirteen-week period.</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Other operating costs increased $2,971,000 in the 2026 thirteen-week period compared to the 2025 thirteen-week period. The increase in other operating costs compared to the prior year was primarily due to increased trailer equipment maintenance costs, increased trailer rental costs and decreased gains on sales of operating property.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Insurance and claims decreased $4,288,000 in the 2026 thirteen-week period compared to the 2025 thirteen-week period. The decrease in insurance and claims expense compared to the prior year was primarily due to decreased net unfavorable development of prior years’ claims in the 2026 thirteen-week period, partially offset by increased frequency of current year trucking claims during the 2026 thirteen-week period and increased BCO miles traveled during the 2026 thirteen-week period. During the 2026 and 2025 thirteen-week periods, insurance and claims costs included $4,888,000 and $11,352,000 of net unfavorable adjustments to prior years’ claims estimates, respectively.</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costs decreased $617,000 in the 2026 thirteen-week period compared to the 2025 thirteen-week period. The decrease in selling, general and administrative costs compared to prior year was primarily attributable to approximately $4,800,000 of expense relating to the supply chain fraud matter referenced above under “</w:t>
      </w:r>
      <w:r>
        <w:rPr>
          <w:rFonts w:ascii="Times New Roman" w:cs="Times New Roman" w:eastAsia="Times New Roman" w:hAnsi="Times New Roman"/>
          <w:sz w:val="18"/>
          <w:szCs w:val="18"/>
          <w:i w:val="1"/>
          <w:iCs w:val="1"/>
          <w:color w:val="auto"/>
        </w:rPr>
        <w:t>Expenses—Selling, general and administrative”</w:t>
      </w:r>
      <w:r>
        <w:rPr>
          <w:rFonts w:ascii="Times New Roman" w:cs="Times New Roman" w:eastAsia="Times New Roman" w:hAnsi="Times New Roman"/>
          <w:sz w:val="18"/>
          <w:szCs w:val="18"/>
          <w:color w:val="auto"/>
        </w:rPr>
        <w:t xml:space="preserve"> in the 2025 thirteen-week period and a decreased provision for customer bad debt, almost entirely offset by an increased provision for incentive compensation and increased employee benefit costs in the 2026 thirteen-week period. Included in selling, general and administrative costs was incentive compensation expense of $3,396,000 and $1,000,000, respectively, for the 2026 and 2025 thirteen-week periods.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$1,666,000 in the 2026 thirteen-week period compared to the 2025 thirteen-week period. The decrease in depreciation and amortization expense was primarily due to decreased depreciation on information technology software and decreased trailing equipment depreciation in the 2026 thirteen-week period.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year-over-prior-year change in interest and debt expense (income) was $677,000, with net interest and debt expense of $518,000 in the 2026 thirteen-week period compared to net interest and debt income of $159,000 in 2025 thirteen-week period. The increase in interest and debt expense (income) was primarily attributable to decreased interest income earned on cash balances held by the transportation logistics segment, partially offset by decreased interest expense related to finance lease obligations.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provisions for income taxes for the 2026 and 2025 thirteen-week periods were based on estimated annual effective income tax rates of 24.9% and 24.3%, respectively, adjusted for discrete events, such as excess tax benefits or deficiencies resulting from stock-based awards. The effective income tax rate for the 2026 thirteen-week period was 25.2%. The effective income tax rate was higher than the statutory federal income tax rate of 21% in the 2026 period primarily attributable to state taxes. The effective income tax rate for the 2025 thirteen-week period was 24.7%. The effective income tax rate was higher than the statutory federal income tax rate of 21% in the 2025 period primarily attributable to state taxes.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Net income was $39,440,000, or $1.16 per basic and diluted share, in the 2026 thirteen-week period. Net income was $29,806,000, or $0.85 per basic and diluted share, in the 2025 thirteen-week period.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Working capital and the ratio of current assets to current liabilities were $552,881,000 and 1.9 to 1, respectively, at March 28, 2026, compared with $520,486,000 and 1.7 to 1, respectively, at December 27, 2025. Landstar has historically operated with current ratios within the range of 1.5 to 1 to 2.0 to 1. Cash provided by operating activities was $78,211,000 in the 2026 thirteen-week period compared with $55,698,000 in the 2025 thirteen-week period. The increase in cash flow provided by operating activities was primarily attributable to the timing of payments of accounts payable and the impact of increased net income, partially offset by the timing of payments of insurance claims.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declared and paid $0.40 per share, or $13,614,000 in the aggregate, in cash dividends during the thirteen-week period ended March 28, 2026 and, during such period, also paid $68,117,000 of dividends payable which were declared in December 2025 and included in current liabilities in the consolidated balance sheet at December 27, 2025. The Company declared and paid $0.36 per share, or $12,688,000 in the aggregate, in cash dividends during the thirteen-week period ended March 29, 2025 and, during such period, also paid $70,632,000 of dividends payable which were declared in December 2024 and included in current liabilities in the consolidated balance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sheet at December 28, 2024. During the thirteen-week period ended March 28, 2026, the Company purchased 150,923 shares of its common stock at a total cost of $22,587,000, including $22,387,000 in cash purchases and accrued excise tax of $200,000, which is included in other current liabilities in the consolidated balance sheet at March 28, 2026. During the thirteen-week period ended March 29, 2025, the Company purchased 386,318 shares of its common stock at a total cost of $60,945,000, including $60,361,000 in cash purchases and accrued excise tax of $584,000, which was included in other current liabilities in the consolidated balance sheet at March 29, 2025. As of March 28, 2026, the Company may purchase in the aggregate up to 1,115,195 shares of its common stock under its authorized stock purchase programs. Long-term debt, including current maturities, was $69,266,000 at March 28, 2026, $7,556,000 lower than at December 27, 2025.</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Shareholders’ equity was $798,976,000, or 92% of total capitalization (defined as long-term debt including current maturities plus equity), at March 28, 2026, compared to $795,665,000, or 91% of total capitalization, at December 27, 2025. The increase in shareholders’ equity was primarily the result of net income, almost entirely offset by purchases of shares of the Company’s common stock and dividends declared by the Company in the 2026 thirteen-week period.</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w:t>
      </w:r>
    </w:p>
    <w:p>
      <w:pPr>
        <w:spacing w:after="0" w:line="2"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Credit Agreement also includes an “accordion” feature providing for a possible increase of up to an aggregate amount of borrowing capacity of $600,000,000.</w:t>
      </w:r>
    </w:p>
    <w:p>
      <w:pPr>
        <w:spacing w:after="0" w:line="1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the Company to be materially restrictive to the Company’s operations, capital resources or liquidity. The Company is currently in compliance with all of the debt covenants under the Credit Agreement.</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March 28, 2026, the Company had no borrowings outstanding and $34,916,000 of letters of credit outstanding under the Credit Agreement. At March 28, 2026, there was $265,084,000 available for future borrowings under the Credit Agreement and access to an additional $300,000,000 under the Credit Agreement’s “accordion” feature. In addition, the Company has $75,331,000 in letters of credit outstanding as collateral for insurance claims that are secured by investments totaling $83,701,000 at March 28, 2026. Investments, all of which are carried at fair value, include primarily investment-grade bonds, asset-backed securities, commercial paper and U.S. Treasury obligations having maturities of up to five years. Fair value of investments is based primarily on quoted market prices. See “Notes to Consolidated Financial Statements” included herein for further discussion on measurement of fair value of investments.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the 2026 thirteen-week period, the Company purchased $5,814,000 of operating property. Landstar anticipates acquiring either by purchase or lease financing during the remainder of fiscal year 2026 approximately $113,000,000 in operating property consisting primarily of new trailing equipment to replace older trailing equipment and information technology hardware and software.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Management believes that available cash and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MATTERS</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the Company.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During the 2026 and 2025 thirteen-week periods, insurance and claims costs included $4,888,000 and $11,352,000 of net unfavorable adjustments to prior years’ claims estimates, respectively. It is reasonably likely that the ultimate outcome of settling all outstanding claims will be more or less than the estimated claims liability at March 28, 2026, primarily due to the inherent difficulty in estimating the severity of commercial trucking claims and the potential judgment or settlement amount that may be incurred in connection with the resolution of such claims.</w:t>
      </w:r>
    </w:p>
    <w:p>
      <w:pPr>
        <w:spacing w:after="0" w:line="18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Significant variances from the Company’s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SEASONALITY</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Landstar’s operations are subject to seasonal trends common to the trucking industry. Historically, truckload shipments for the quarter ending in March are typically lower than for the quarters ending June, September and December.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1, 2022, Landstar entered into the Second Amended and Restated Credit Agreement (as further amended as of June 21, 2024, the “Credit Agreement”) with a bank syndicate led by JPMorgan Chase Bank, N.A., as administrative agent.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revolving credit loans under the Credit Agreement as of March 28, 2026,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0.20% to 0.30%, based on the Company’s Leverage Ratio at the end of the most recent applicable fiscal quarter for which financial statements have been delivered. During the entire first quarter of 2026 and as of March 28, 2026 and December 27, 2025, the Company had no borrowings outstanding under the Credit Agreement.</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Long-term investments, all of which are available-for-sale and are carried at fair value, include investment-grade bonds and asset-backed securities having maturities of up to five years. Assuming that the long-term portion of investments remains at $89,745,000, the balance at March 28, 2026, a hypothetical increase or decrease in interest rates of 100 basis points would not have a material impact on future earnings on an annualized basis. Short-term investments consist primarily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March 28, 2026 were collectively, as translated to U.S. dollars, less than 2% of total consolidated assets. Accordingly, translation gains or losses of 45% or less related to the Canadian and Mexican operations would not be material.</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carried out, under the supervision and with the participation of the Company’s management, including the Chief Executive Officer (“CEO”) and the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March 28, 2026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89"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first quarter of 2026, which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Part I, Item 2, “</w:t>
      </w:r>
      <w:r>
        <w:rPr>
          <w:rFonts w:ascii="Times New Roman" w:cs="Times New Roman" w:eastAsia="Times New Roman" w:hAnsi="Times New Roman"/>
          <w:sz w:val="18"/>
          <w:szCs w:val="18"/>
          <w:i w:val="1"/>
          <w:iCs w:val="1"/>
          <w:color w:val="auto"/>
        </w:rPr>
        <w:t>Management’s Discussion and Analysis of Financial Condition and Results of Operations — Legal Matters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a discussion identifying risk factors and other important factors that could cause actual results to differ materially from those anticipated, see the discussions under Part I, Item 1A, “Risk Factors” in the Company’s Annual Report on Form 10-K for the fiscal year ended December 27, 2025, and in “Management’s Discussion and Analysis of Financial Condition and Results of Operations” and “Notes to Consolidated Financial Statements” in this Quarterly Report on Form 10-Q.</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Risk Factors” in the Company’s Annual Report on Form 10-K for the fiscal year ended December 27, 2025 as filed with the SEC.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Purchases of Equity Securities by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 of its common stock during the period from December 28, 2025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28, 2026, the Company’s first fiscal quarter:</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Total Number of</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w:t>
            </w:r>
          </w:p>
        </w:tc>
        <w:tc>
          <w:tcPr>
            <w:tcW w:w="17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Shares Purchased as</w:t>
            </w:r>
          </w:p>
        </w:tc>
        <w:tc>
          <w:tcPr>
            <w:tcW w:w="13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That May Yet</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404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Part of Publicly</w:t>
            </w: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Be Purchased Under</w:t>
            </w:r>
          </w:p>
        </w:tc>
        <w:tc>
          <w:tcPr>
            <w:tcW w:w="0" w:type="dxa"/>
            <w:vAlign w:val="bottom"/>
          </w:tcPr>
          <w:p>
            <w:pPr>
              <w:spacing w:after="0"/>
              <w:rPr>
                <w:sz w:val="1"/>
                <w:szCs w:val="1"/>
                <w:color w:val="auto"/>
              </w:rPr>
            </w:pPr>
          </w:p>
        </w:tc>
      </w:tr>
      <w:tr>
        <w:trPr>
          <w:trHeight w:val="158"/>
        </w:trPr>
        <w:tc>
          <w:tcPr>
            <w:tcW w:w="760" w:type="dxa"/>
            <w:vAlign w:val="bottom"/>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Shares Purchased</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 xml:space="preserve">Paid Per Share </w:t>
            </w:r>
            <w:r>
              <w:rPr>
                <w:rFonts w:ascii="Times New Roman" w:cs="Times New Roman" w:eastAsia="Times New Roman" w:hAnsi="Times New Roman"/>
                <w:sz w:val="8"/>
                <w:szCs w:val="8"/>
                <w:color w:val="auto"/>
              </w:rPr>
              <w:t>(1)</w:t>
            </w:r>
          </w:p>
        </w:tc>
        <w:tc>
          <w:tcPr>
            <w:tcW w:w="540" w:type="dxa"/>
            <w:vAlign w:val="bottom"/>
          </w:tcPr>
          <w:p>
            <w:pPr>
              <w:spacing w:after="0"/>
              <w:rPr>
                <w:sz w:val="13"/>
                <w:szCs w:val="13"/>
                <w:color w:val="auto"/>
              </w:rPr>
            </w:pPr>
          </w:p>
        </w:tc>
        <w:tc>
          <w:tcPr>
            <w:tcW w:w="178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4"/>
                <w:szCs w:val="14"/>
                <w:color w:val="auto"/>
              </w:rPr>
              <w:t>Announced Programs</w:t>
            </w:r>
          </w:p>
        </w:tc>
        <w:tc>
          <w:tcPr>
            <w:tcW w:w="134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the Programs</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2025</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1,266,118</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28, 2025 – Jan. 24, 2026</w:t>
            </w: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1,266,118</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25, 2026 – Feb. 21, 2026</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145.60</w:t>
            </w:r>
          </w:p>
        </w:tc>
        <w:tc>
          <w:tcPr>
            <w:tcW w:w="1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71,461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1,194,657</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 22, 2026 – Mar. 28,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54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79,462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1,115,195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148.33</w:t>
            </w:r>
          </w:p>
        </w:tc>
        <w:tc>
          <w:tcPr>
            <w:tcW w:w="1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150,923</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average price paid per share does not include the 1% excise tax on net stock repurchases, as applicable.</w:t>
      </w:r>
    </w:p>
    <w:p>
      <w:pPr>
        <w:spacing w:after="0" w:line="19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March 28, 2026, the Company had authorization to purchase in the aggregate up to 1,115,195 shares of its common stock under these programs. No specific expiration date has been assigned to the December 6, 2022 or December 4, 2023 authorizations.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Landstar entered into the Second Amended and Restated Credit Agreement, dated July 1, 2022, with a bank syndicate led by JPMorgan Chase Bank, N.A., as administrative agent (as further amended as of June 21, 2024, the “Credit Agreement”). The Credit Agreement provides for a restriction on cash dividends and other distributions to stockholders on the Company’s capital stock in the event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as defined in the Credit Agreement, would exceed 2.5 to 1 on a pro forma basis as of the end of the Company’s most recently completed fiscal quarter.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During the thirteen-week period ended March 28, 2026, none of our directors or executive officers adopted or terminated any contract, instruction or written plan for the purchase or sale of Landstar’s securities that was intended to satisfy the affirmative defense conditions of Rule 10b5-1(c) or any “non-Rule 10b5-1 trading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on the Exhibit Index are furnished as part of this quarterly report on Form 10-Q.</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2"/>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Registrant’s Commission File No.: 0-21238</w:t>
            </w:r>
          </w:p>
        </w:tc>
      </w:tr>
      <w:tr>
        <w:trPr>
          <w:trHeight w:val="398"/>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400" w:type="dxa"/>
            <w:vAlign w:val="bottom"/>
          </w:tcPr>
          <w:p>
            <w:pPr>
              <w:spacing w:after="0"/>
              <w:rPr>
                <w:sz w:val="24"/>
                <w:szCs w:val="24"/>
                <w:color w:val="auto"/>
              </w:rPr>
            </w:pPr>
          </w:p>
        </w:tc>
        <w:tc>
          <w:tcPr>
            <w:tcW w:w="99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4"/>
                <w:szCs w:val="14"/>
                <w:color w:val="auto"/>
              </w:rPr>
              <w:t>Description</w:t>
            </w:r>
          </w:p>
        </w:tc>
      </w:tr>
      <w:tr>
        <w:trPr>
          <w:trHeight w:val="3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w:t>
            </w:r>
          </w:p>
        </w:tc>
        <w:tc>
          <w:tcPr>
            <w:tcW w:w="4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contacts:</w:t>
            </w:r>
          </w:p>
        </w:tc>
      </w:tr>
    </w:tbl>
    <w:p>
      <w:pPr>
        <w:spacing w:after="0" w:line="90" w:lineRule="exact"/>
        <w:rPr>
          <w:sz w:val="20"/>
          <w:szCs w:val="20"/>
          <w:color w:val="auto"/>
        </w:rPr>
      </w:pPr>
    </w:p>
    <w:p>
      <w:pPr>
        <w:ind w:left="200" w:hanging="84"/>
        <w:spacing w:after="0"/>
        <w:tabs>
          <w:tab w:leader="none" w:pos="2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u w:val="single" w:color="auto"/>
          <w:color w:val="0000EE"/>
        </w:rPr>
        <w:t>Letter Agreement, dated January 19, 2026, between Landstar System, Inc. and Terri M. Lewis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Section 302 of the Sarbanes-Oxley Act of 2002.</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7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as adopted pursuant to Section 302 of the Sarbanes-Oxley Act of 2002.</w:t>
            </w: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7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Chief Financial Officer certification, as adopted pursuant to Section 302 of the Sarbanes-Oxley Act of 2002.</w:t>
            </w:r>
          </w:p>
        </w:tc>
        <w:tc>
          <w:tcPr>
            <w:tcW w:w="40" w:type="dxa"/>
            <w:vAlign w:val="bottom"/>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tc>
      </w:tr>
    </w:tbl>
    <w:p>
      <w:pPr>
        <w:spacing w:after="0" w:line="90" w:lineRule="exact"/>
        <w:rPr>
          <w:sz w:val="20"/>
          <w:szCs w:val="20"/>
          <w:color w:val="auto"/>
        </w:rPr>
      </w:pPr>
    </w:p>
    <w:p>
      <w:pPr>
        <w:ind w:left="1200" w:right="140" w:hanging="1084"/>
        <w:spacing w:after="0" w:line="28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u w:val="single" w:color="auto"/>
          <w:color w:val="0000EE"/>
        </w:rPr>
        <w:t>Chief Executive Officer certification pursuant to 18 U.S.C. Section 1350, as adopted pursuant to Section 906 of the Sarbanes-Oxley Act of 2002.</w:t>
      </w:r>
    </w:p>
    <w:p>
      <w:pPr>
        <w:spacing w:after="0" w:line="53" w:lineRule="exact"/>
        <w:rPr>
          <w:rFonts w:ascii="Times New Roman" w:cs="Times New Roman" w:eastAsia="Times New Roman" w:hAnsi="Times New Roman"/>
          <w:sz w:val="18"/>
          <w:szCs w:val="18"/>
          <w:color w:val="auto"/>
        </w:rPr>
      </w:pPr>
    </w:p>
    <w:p>
      <w:pPr>
        <w:ind w:left="1200" w:right="200" w:hanging="1084"/>
        <w:spacing w:after="0" w:line="28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u w:val="single" w:color="auto"/>
          <w:color w:val="0000EE"/>
        </w:rPr>
        <w:t>Chief Financial Officer certification pursuant to 18 U.S.C. Section 1350, as adopted pursuant to Section 906 of the Sarbanes-Oxley Act of 2002.</w:t>
      </w:r>
    </w:p>
    <w:p>
      <w:pPr>
        <w:sectPr>
          <w:pgSz w:w="11900" w:h="16838" w:orient="portrait"/>
          <w:cols w:equalWidth="0" w:num="1">
            <w:col w:w="11140"/>
          </w:cols>
          <w:pgMar w:left="320" w:top="482" w:right="439" w:bottom="1440" w:gutter="0" w:footer="0" w:header="0"/>
        </w:sectPr>
      </w:pP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101.CAL*</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101.LAB*</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101.PRE*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80" w:space="320"/>
            <w:col w:w="9940"/>
          </w:cols>
          <w:pgMar w:left="320" w:top="482" w:right="439" w:bottom="1440" w:gutter="0" w:footer="0" w:header="0"/>
          <w:type w:val="continuous"/>
        </w:sectPr>
      </w:pPr>
    </w:p>
    <w:p>
      <w:pPr>
        <w:spacing w:after="0" w:line="52"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20"/>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7"/>
          <w:szCs w:val="17"/>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14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Financial Officer and Assistant Secretary</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620"/>
          </w:cols>
          <w:pgMar w:left="320" w:top="482" w:right="959" w:bottom="1440" w:gutter="0" w:footer="0" w:header="0"/>
        </w:sectPr>
      </w:pPr>
    </w:p>
    <w:bookmarkStart w:id="35" w:name="page36"/>
    <w:bookmarkEnd w:id="35"/>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80885" cy="480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08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8"/>
          <w:szCs w:val="18"/>
          <w:i w:val="1"/>
          <w:iCs w:val="1"/>
          <w:color w:val="auto"/>
        </w:rPr>
        <w:t>Landstar System, Inc.</w:t>
      </w:r>
    </w:p>
    <w:p>
      <w:pPr>
        <w:spacing w:after="0" w:line="29"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8"/>
          <w:szCs w:val="18"/>
          <w:i w:val="1"/>
          <w:iCs w:val="1"/>
          <w:color w:val="auto"/>
        </w:rPr>
        <w:t>13410 Sutton Park Drive, South</w:t>
      </w:r>
    </w:p>
    <w:p>
      <w:pPr>
        <w:spacing w:after="0" w:line="9"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8"/>
          <w:szCs w:val="18"/>
          <w:i w:val="1"/>
          <w:iCs w:val="1"/>
          <w:color w:val="auto"/>
        </w:rPr>
        <w:t>Jacksonville, FL 32224</w:t>
      </w:r>
    </w:p>
    <w:p>
      <w:pPr>
        <w:spacing w:after="0" w:line="9"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8"/>
          <w:szCs w:val="18"/>
          <w:i w:val="1"/>
          <w:iCs w:val="1"/>
          <w:color w:val="auto"/>
        </w:rPr>
        <w:t>800.872.9400 | www.landstar.com</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 LEWIS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513 East Primrose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Johns, FL 32259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Terri:</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my pleasure to extend the following offer of employment for the position of Vice President and Chief Human Resources Officer (the “Position”) on behalf of Landstar System, Inc. (the “Company”, and collectively with its subsidiaries and other affiliates, “Landstar”). We are very impressed with your experience and believe you will be a valuable contributor to the Landstar organization.</w:t>
      </w:r>
    </w:p>
    <w:p>
      <w:pPr>
        <w:spacing w:after="0" w:line="176"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 xml:space="preserve">This letter details the terms and conditions of your employment and outlines the current major features of the Company’s compensation and benefit plans and practices. If these terms are satisfactory, please sign and return this letter as indicated below on or before </w:t>
      </w:r>
      <w:r>
        <w:rPr>
          <w:rFonts w:ascii="Times New Roman" w:cs="Times New Roman" w:eastAsia="Times New Roman" w:hAnsi="Times New Roman"/>
          <w:sz w:val="18"/>
          <w:szCs w:val="18"/>
          <w:b w:val="1"/>
          <w:bCs w:val="1"/>
          <w:color w:val="auto"/>
        </w:rPr>
        <w:t>January 20, 2026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Assumption of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start date will be</w:t>
      </w:r>
      <w:r>
        <w:rPr>
          <w:rFonts w:ascii="Times New Roman" w:cs="Times New Roman" w:eastAsia="Times New Roman" w:hAnsi="Times New Roman"/>
          <w:sz w:val="18"/>
          <w:szCs w:val="18"/>
          <w:b w:val="1"/>
          <w:bCs w:val="1"/>
          <w:color w:val="auto"/>
        </w:rPr>
        <w:t xml:space="preserve"> February 23, 2026</w:t>
      </w:r>
      <w:r>
        <w:rPr>
          <w:rFonts w:ascii="Times New Roman" w:cs="Times New Roman" w:eastAsia="Times New Roman" w:hAnsi="Times New Roman"/>
          <w:sz w:val="18"/>
          <w:szCs w:val="18"/>
          <w:color w:val="auto"/>
        </w:rPr>
        <w:t>, for you to assume the Position. You will report to Frank Lonegro,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Landstar System, Inc. Your work location will be in the Jacksonville Service Center located at 13410 Sutton Park Drive South, Jacksonville, Florida 32224. This is a full-time in-office position.</w:t>
      </w:r>
    </w:p>
    <w:p>
      <w:pPr>
        <w:spacing w:after="0" w:line="171"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Salary: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annual base salary will be $300,000, which will be paid in semi-monthly installments, subject to deductions for taxes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withholdings as required by law and/or the policies of Landstar. This position is classified as exempt under the Fair Labor Standards Act (FLSA).</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 Your target annual cash bonus is 60% of base salary (the “Target Bonus”) as determined under the Company’s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(“ICP”). All amounts payable under the ICP are subject to the discretion of the Compensation Committee of the Board of Directors of Landstar System, Inc. (the “Compensation Committee”) Any amounts that may be payable to you as a bonus with respect to the Company’s 2026 fiscal year will be subject to proration based on the portion of the Company’s 2026 fiscal year during which you were employed in the Position. Your bonus under the ICP will be paid to you when other bonuses under the ICP are paid to other executives of the Company, but in no event later than March 15 of the year following the year to which such bonus relates. Except as otherwise set forth herein, you must be employed at the time of payment in order to receive your bonus under the ICP. Your bonus payment under the ICP is subject to applicable taxes.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www.landstar.com</w:t>
      </w:r>
    </w:p>
    <w:p>
      <w:pPr>
        <w:sectPr>
          <w:pgSz w:w="11900" w:h="16838" w:orient="portrait"/>
          <w:cols w:equalWidth="0" w:num="1">
            <w:col w:w="11020"/>
          </w:cols>
          <w:pgMar w:left="440" w:top="117" w:right="439" w:bottom="1440" w:gutter="0" w:footer="0" w:header="0"/>
        </w:sectPr>
      </w:pPr>
    </w:p>
    <w:bookmarkStart w:id="36" w:name="page37"/>
    <w:bookmarkEnd w:id="36"/>
    <w:p>
      <w:pPr>
        <w:ind w:right="1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w:t>
      </w:r>
      <w:r>
        <w:rPr>
          <w:rFonts w:ascii="Times New Roman" w:cs="Times New Roman" w:eastAsia="Times New Roman" w:hAnsi="Times New Roman"/>
          <w:sz w:val="18"/>
          <w:szCs w:val="18"/>
          <w:color w:val="auto"/>
        </w:rPr>
        <w:t>: You are eligible for annual equity grants under the Company’s 2011 Equity Incentive Plan (as amended, the “Equity Incentive Plan”)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such grants anticipated to occur on your first day of employment with the Company. structured as follows, subject in all respects to the discretion of the Compensation Committee:</w:t>
      </w:r>
    </w:p>
    <w:p>
      <w:pPr>
        <w:spacing w:after="0" w:line="80" w:lineRule="exact"/>
        <w:rPr>
          <w:sz w:val="20"/>
          <w:szCs w:val="20"/>
          <w:color w:val="auto"/>
        </w:rPr>
      </w:pPr>
    </w:p>
    <w:p>
      <w:pPr>
        <w:ind w:left="960" w:right="8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$350,000 grant of performance-related stock awards granted in the form of restricted stock units (PSUs). The initial grant would use fiscal year 2025 as the base year and vesting would occur following the end of fiscal years 2028, 2029 and 2030 in accordance with the Equity Incentive Plan.</w:t>
      </w:r>
    </w:p>
    <w:p>
      <w:pPr>
        <w:spacing w:after="0" w:line="81"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 grant of restricted stock to vest pro rata on January 31, 2027, 2028 and 2029. Unvested shares of restricted stock are eligible to be voted and to receive dividends.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annual equity grants will be subject to the terms and conditions of the Equity Incentive Plan and the applicable award agreement. In connection with equity grants to be made under the Company’s Equity Incentive Plan, you will be required to execute a Restrictive Covenant Agreement, which will include, among other things, confidentiality provisions and non-solicitation, non-interference and non-competition provisions which will apply during the period of your employment with the Company and for six months thereafter.</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Sign-on</w:t>
      </w:r>
      <w:r>
        <w:rPr>
          <w:rFonts w:ascii="Times New Roman" w:cs="Times New Roman" w:eastAsia="Times New Roman" w:hAnsi="Times New Roman"/>
          <w:sz w:val="18"/>
          <w:szCs w:val="18"/>
          <w:color w:val="auto"/>
        </w:rPr>
        <w:t>: In addition to components of your compensation described above under “Salary”, “Annual Bonus” and “Equity”, you will be entitled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amounts as sign-on compensation:</w:t>
      </w:r>
    </w:p>
    <w:p>
      <w:pPr>
        <w:spacing w:after="0" w:line="64" w:lineRule="exact"/>
        <w:rPr>
          <w:sz w:val="20"/>
          <w:szCs w:val="20"/>
          <w:color w:val="auto"/>
        </w:rPr>
      </w:pPr>
    </w:p>
    <w:p>
      <w:pPr>
        <w:ind w:left="960" w:right="20" w:hanging="532"/>
        <w:spacing w:after="0" w:line="261"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$500,000 grant of restricted stock under the Company’s Equity Incentive Plan, to be granted on your first day of employment, with such shares of restricted stock vesting 100% on the third anniversary of your commencement of employment with Landstar, subject to your continued employment with Landstar through such anniversary. Such restricted stock award will be subject to the terms and conditions of the Equity Incentive Plan and the applicable award agreement.</w:t>
      </w:r>
    </w:p>
    <w:p>
      <w:pPr>
        <w:spacing w:after="0" w:line="85"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cash payment of $300,000 as compensation to you in recognition of your forgoing of your 2025 fiscal year bonus at your current employer which shall be paid within thirty (30) days of your commencement of employment with Landstar. Such cash payment will be subject to repayment if your employment with Landstar is terminated for Cause (as defined below) or if you resign without Good Reason (as defined below), in either case within 24 months after the date you commence employment. The amount of any such repayment obligation will be subject to proration based on the number of months remaining in that 24-month period relative to the overall period. This payment is subject to applicable taxes.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Retention Payments</w:t>
      </w:r>
      <w:r>
        <w:rPr>
          <w:rFonts w:ascii="Times New Roman" w:cs="Times New Roman" w:eastAsia="Times New Roman" w:hAnsi="Times New Roman"/>
          <w:sz w:val="18"/>
          <w:szCs w:val="18"/>
          <w:color w:val="auto"/>
        </w:rPr>
        <w:t>. You will be eligible for cash payments of $100,000 on each of the first and second anniversaries of your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Landstar, subject to your continued employment with Landstar through such anniversary in the Position. Each payment shall be paid within thirty (30) days of such anniversary date and is subject to applicable taxes.</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termination by the Company without Cause or by you with Good Reason on or prior to the fifth anniversary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of employment and subject to your execution and delivery to the Company and non-revocation within 30 days of such termination of a general release of claims in the form customarily used by the Company, releasing Landstar from all claims and liabilities, severance in the amount of twelve (12) months of your then applicable annual salary will be paid to you in a lump sum cash payment promptly following the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www.landstar.com</w:t>
      </w:r>
    </w:p>
    <w:p>
      <w:pPr>
        <w:sectPr>
          <w:pgSz w:w="11900" w:h="16838" w:orient="portrait"/>
          <w:cols w:equalWidth="0" w:num="1">
            <w:col w:w="11000"/>
          </w:cols>
          <w:pgMar w:left="440" w:top="266" w:right="459" w:bottom="1440" w:gutter="0" w:footer="0" w:header="0"/>
        </w:sectPr>
      </w:pPr>
    </w:p>
    <w:bookmarkStart w:id="37" w:name="page38"/>
    <w:bookmarkEnd w:id="3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of the 30-day period following such termination. Notwithstanding the foregoing, in the event that any severance benefits are payable to you under the KEEPA, no severance payment will be made to you under the immediately preceding sentence. Moreover, you may not resign your employment with the Company for Good Reason unless: (x) you provide the Company with at least 30 days prior written notice of your intent to resign for Good Reason (which notice is provided not later than the 30th day following the event constituting Good Reason); (y) the Company does not remedy the alleged violation(s) within such 30-day period; and (z) you terminate your employment within 60 days after providing notice if the alleged violation(s) are not cured by the Company.</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You will be provided the opportunity to execute a Key Executive Employment Protection Agreement (the “KEEPA”)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form that provides severance benefits in the event of certain qualifying terminations within two years after, or after the execution of definitive documents for a change in control but prior to the consummation of, a change in control of the Company consisting of a lump sum cash amount equal to two times the sum of your (A) then applicable annual base salary and (B) the amount of your Target Bonus for the year in which the change in control occurs. Each KEEPA also provides a pro rata portion of the amount of the Target Bonus for the year of employment termination and for continuation of medical benefits for up to one year from the date of employment termination.</w:t>
      </w:r>
    </w:p>
    <w:p>
      <w:pPr>
        <w:spacing w:after="0" w:line="18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r>
        <w:rPr>
          <w:rFonts w:ascii="Times New Roman" w:cs="Times New Roman" w:eastAsia="Times New Roman" w:hAnsi="Times New Roman"/>
          <w:sz w:val="18"/>
          <w:szCs w:val="18"/>
          <w:color w:val="auto"/>
        </w:rPr>
        <w:t>: You will be provided the opportunity to execute an Indemnification Agreement on the Company’s standard form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will agree to indemnify, defend and hold you harmless, to the maximum extent permitted under applicable law, in accordance with its governing documents and general policies and practices.</w:t>
      </w:r>
    </w:p>
    <w:p>
      <w:pPr>
        <w:spacing w:after="0" w:line="17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entitled to enroll in any of the benefits offered to employees of Landstar as you become eligible according to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Landstar’s excellent benefit program includes a 401(k) plan, tuition assistance, Flexible Spending Accounts and medical, dental, and vision options. In addition, you will be provided with twice your annual salary in life insurance, as well as AD&amp;D, short-term and long-term disability insurance at no cost to you. Optional life and AD&amp;D are also available at group premiums. Eligibility for all health plans begins on the first of the month following the completion of 60 days of service.</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Paid Time Off</w:t>
      </w:r>
      <w:r>
        <w:rPr>
          <w:rFonts w:ascii="Times New Roman" w:cs="Times New Roman" w:eastAsia="Times New Roman" w:hAnsi="Times New Roman"/>
          <w:sz w:val="18"/>
          <w:szCs w:val="18"/>
          <w:color w:val="auto"/>
        </w:rPr>
        <w:t>: Landstar currently recognizes 9 paid holidays per year to all employees. In addition, you will be entitled to 15 paid vacation days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2026 calendar year and 20 paid vacation days per year thereafter under the Company’s vacation policy. You are also eligible for flex days in accordance with Company policy. Flex days renew on a calendar year basis and cannot be rolled over. The use of vacation and flex days should be reviewed and approved in advance by your supervisor.</w:t>
      </w:r>
    </w:p>
    <w:p>
      <w:pPr>
        <w:spacing w:after="0" w:line="176"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Expense Reimbursement</w:t>
      </w:r>
      <w:r>
        <w:rPr>
          <w:rFonts w:ascii="Times New Roman" w:cs="Times New Roman" w:eastAsia="Times New Roman" w:hAnsi="Times New Roman"/>
          <w:sz w:val="17"/>
          <w:szCs w:val="17"/>
          <w:color w:val="auto"/>
        </w:rPr>
        <w:t>: You will be entitled to be reimbursed for any expenses that you incur on behalf of the Company in the performance of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duties and obligations in your Position in accordance with the Landstar’s generally applicable policies and procedures, as in effect from time to time.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As used herein, the following terms have the meaning set forth below.</w:t>
      </w:r>
    </w:p>
    <w:p>
      <w:pPr>
        <w:spacing w:after="0" w:line="135"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for purposes of this offer letter shall have the same meaning ascribed to such term in the Equity Incentive Plan.</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for purposes of this offer letter shall have the same meaning as provided in clauses (i), (ii) and (iv) in the definition of such term in the KEEPA; provided that all references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www.landstar.com</w:t>
      </w:r>
    </w:p>
    <w:p>
      <w:pPr>
        <w:sectPr>
          <w:pgSz w:w="11900" w:h="16838" w:orient="portrait"/>
          <w:cols w:equalWidth="0" w:num="1">
            <w:col w:w="11000"/>
          </w:cols>
          <w:pgMar w:left="440" w:top="270" w:right="459" w:bottom="1440" w:gutter="0" w:footer="0" w:header="0"/>
        </w:sectPr>
      </w:pPr>
    </w:p>
    <w:bookmarkStart w:id="38" w:name="page39"/>
    <w:bookmarkEnd w:id="38"/>
    <w:p>
      <w:pPr>
        <w:ind w:left="98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“Change of Control” or “Change of Control Date” in each such clause shall instead refer to the “date giving rise to such Good Reason event” and provided further that any such event results in a material negative change to you in your employment relationship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contingent on the following:</w:t>
      </w:r>
    </w:p>
    <w:p>
      <w:pPr>
        <w:spacing w:after="0" w:line="131" w:lineRule="exact"/>
        <w:rPr>
          <w:sz w:val="20"/>
          <w:szCs w:val="20"/>
          <w:color w:val="auto"/>
        </w:rPr>
      </w:pPr>
    </w:p>
    <w:p>
      <w:pPr>
        <w:ind w:left="1420" w:right="20" w:hanging="331"/>
        <w:spacing w:after="0" w:line="26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drug screen. Upon acceptance of this offer you will be provided with information needed to complete this process. The results must be available in advance of your start date; normal turnaround is at least 72 hours for results. All such testing is conducted in accordance with federal, state, and local laws.</w:t>
      </w:r>
    </w:p>
    <w:p>
      <w:pPr>
        <w:spacing w:after="0" w:line="81"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documents on your first day of work that establish your identity and authorization to work in the United States. All individuals hired are required by the Immigration Reform and Control Act of 1986 to provide verification documents.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criminal background and reference checks.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 agreement to arbitrate any disputes with the Company on the Company’s standard form.</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letter reflects the terms and conditions of your employment. Accordingly, it supersedes and completely replaces any prior oral or written communication on this subject. This letter is not an employment contract and should not be construed or interpreted as containing any guarantee of continued employment. The employment relationship at our Company is by mutual consent (“Employment-At-Will”). This means that employees have the right to terminate their employment at any time and for any reason. Likewise, the Company reserves the right to discontinue your employment with or without Cause at any time and for any reason.</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Again, Terri, we look forward to you joining Landstar System, Inc. and wish you a prosperous career here. Please indicate your acceptance of this offer below no later than </w:t>
      </w:r>
      <w:r>
        <w:rPr>
          <w:rFonts w:ascii="Times New Roman" w:cs="Times New Roman" w:eastAsia="Times New Roman" w:hAnsi="Times New Roman"/>
          <w:sz w:val="18"/>
          <w:szCs w:val="18"/>
          <w:b w:val="1"/>
          <w:bCs w:val="1"/>
          <w:color w:val="auto"/>
        </w:rPr>
        <w:t>January 20, 2026</w:t>
      </w:r>
      <w:r>
        <w:rPr>
          <w:rFonts w:ascii="Times New Roman" w:cs="Times New Roman" w:eastAsia="Times New Roman" w:hAnsi="Times New Roman"/>
          <w:sz w:val="18"/>
          <w:szCs w:val="18"/>
          <w:color w:val="auto"/>
        </w:rPr>
        <w:t>. Please keep a copy of this offer for your personal records.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A. Lonegro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www.landstar.com</w:t>
      </w:r>
    </w:p>
    <w:p>
      <w:pPr>
        <w:sectPr>
          <w:pgSz w:w="11900" w:h="16838" w:orient="portrait"/>
          <w:cols w:equalWidth="0" w:num="1">
            <w:col w:w="10880"/>
          </w:cols>
          <w:pgMar w:left="440" w:top="270" w:right="579" w:bottom="1440" w:gutter="0" w:footer="0" w:header="0"/>
        </w:sectPr>
      </w:pPr>
    </w:p>
    <w:bookmarkStart w:id="39" w:name="page40"/>
    <w:bookmarkEnd w:id="39"/>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accept the offer as stated above and intend to commence my employment on </w:t>
      </w:r>
      <w:r>
        <w:rPr>
          <w:rFonts w:ascii="Times New Roman" w:cs="Times New Roman" w:eastAsia="Times New Roman" w:hAnsi="Times New Roman"/>
          <w:sz w:val="18"/>
          <w:szCs w:val="18"/>
          <w:b w:val="1"/>
          <w:bCs w:val="1"/>
          <w:color w:val="auto"/>
        </w:rPr>
        <w:t>February 23, 2026</w:t>
      </w:r>
      <w:r>
        <w:rPr>
          <w:rFonts w:ascii="Times New Roman" w:cs="Times New Roman" w:eastAsia="Times New Roman" w:hAnsi="Times New Roman"/>
          <w:sz w:val="18"/>
          <w:szCs w:val="18"/>
          <w:color w:val="auto"/>
        </w:rPr>
        <w:t>. I understand and acknowledge that this offer does not guarantee me employment for any period of time and that the employment relationship between Landstar and me will be “at will,” which means that either Landstar or I may terminate the relationship at any time. I also understand and acknowledge that Landstar may change the terms and conditions of my employment at any time.</w:t>
      </w:r>
    </w:p>
    <w:p>
      <w:pPr>
        <w:spacing w:after="0" w:line="18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Date: January 19,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u w:val="single" w:color="auto"/>
          <w:color w:val="auto"/>
        </w:rPr>
        <w:t>/s/ Terri Lewis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Terri Lewis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www.landstar.com</w:t>
      </w:r>
    </w:p>
    <w:p>
      <w:pPr>
        <w:sectPr>
          <w:pgSz w:w="11900" w:h="16838" w:orient="portrait"/>
          <w:cols w:equalWidth="0" w:num="1">
            <w:col w:w="11000"/>
          </w:cols>
          <w:pgMar w:left="440" w:top="266" w:right="4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Frank A. Lonegro, certify that:</w:t>
      </w:r>
    </w:p>
    <w:p>
      <w:pPr>
        <w:spacing w:after="0" w:line="117" w:lineRule="exact"/>
        <w:rPr>
          <w:sz w:val="20"/>
          <w:szCs w:val="20"/>
          <w:color w:val="auto"/>
        </w:rPr>
      </w:pPr>
    </w:p>
    <w:p>
      <w:pPr>
        <w:ind w:left="184" w:hanging="184"/>
        <w:spacing w:after="0"/>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117"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4" w:right="200" w:hanging="4"/>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James P. Todd, certify that:</w:t>
      </w:r>
    </w:p>
    <w:p>
      <w:pPr>
        <w:spacing w:after="0" w:line="117" w:lineRule="exact"/>
        <w:rPr>
          <w:sz w:val="20"/>
          <w:szCs w:val="20"/>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Landstar System, Inc.;</w:t>
      </w:r>
    </w:p>
    <w:p>
      <w:pPr>
        <w:spacing w:after="0" w:line="117" w:lineRule="exact"/>
        <w:rPr>
          <w:rFonts w:ascii="Times New Roman" w:cs="Times New Roman" w:eastAsia="Times New Roman" w:hAnsi="Times New Roman"/>
          <w:sz w:val="18"/>
          <w:szCs w:val="18"/>
          <w:color w:val="auto"/>
        </w:rPr>
      </w:pPr>
    </w:p>
    <w:p>
      <w:pPr>
        <w:ind w:left="4" w:right="60" w:hanging="4"/>
        <w:spacing w:after="0" w:line="312" w:lineRule="auto"/>
        <w:tabs>
          <w:tab w:leader="none" w:pos="18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4" w:right="340" w:hanging="4"/>
        <w:spacing w:after="0" w:line="28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 w:right="120" w:hanging="4"/>
        <w:spacing w:after="0" w:line="266" w:lineRule="auto"/>
        <w:tabs>
          <w:tab w:leader="none" w:pos="1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 w:right="100" w:hanging="4"/>
        <w:spacing w:after="0" w:line="266" w:lineRule="auto"/>
        <w:tabs>
          <w:tab w:leader="none" w:pos="1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 w:right="160" w:hanging="4"/>
        <w:spacing w:after="0" w:line="282" w:lineRule="auto"/>
        <w:tabs>
          <w:tab w:leader="none" w:pos="1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1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4" w:right="200" w:hanging="4"/>
        <w:spacing w:after="0" w:line="282" w:lineRule="auto"/>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 w:right="80" w:hanging="4"/>
        <w:spacing w:after="0" w:line="282" w:lineRule="auto"/>
        <w:tabs>
          <w:tab w:leader="none" w:pos="1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 w:right="120" w:hanging="4"/>
        <w:spacing w:after="0" w:line="282" w:lineRule="auto"/>
        <w:tabs>
          <w:tab w:leader="none" w:pos="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24"/>
          </w:cols>
          <w:pgMar w:left="436" w:top="121"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Landstar System, Inc. (the “Company”) on Form 10-Q for the period ending March 28, 2026, as filed with the Securities and Exchange Commission on the date hereof (the “Report”), I, Frank A. Lonegro, President and Chief Executive Officer of the Company, certify pursuant to 18 U.S.C. Section 1350, as adopted pursuant to Section 906 of the Sarbanes-Oxley Act of 2002, that:</w:t>
      </w:r>
    </w:p>
    <w:p>
      <w:pPr>
        <w:spacing w:after="0" w:line="81"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 A. Lonegro</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24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Landstar System, Inc. (the “Company”) on Form 10-Q for the period ending March 28, 2026,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w:t>
      </w:r>
    </w:p>
    <w:p>
      <w:pPr>
        <w:spacing w:after="0" w:line="63"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James P. Todd</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Vice President, Chief Financial Officer and Assistant</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lowerRoman"/>
      <w:start w:val="3"/>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
      <w:numFmt w:val="bullet"/>
      <w:start w:val="1"/>
    </w:lvl>
  </w:abstractNum>
  <w:abstractNum w:abstractNumId="20">
    <w:nsid w:val="2901D82"/>
    <w:multiLevelType w:val="hybridMultilevel"/>
    <w:lvl w:ilvl="0">
      <w:lvlJc w:val="left"/>
      <w:lvlText w:val=" "/>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upperLetter"/>
      <w:start w:val="1"/>
    </w:lvl>
  </w:abstractNum>
  <w:abstractNum w:abstractNumId="24">
    <w:nsid w:val="7C3DBD3D"/>
    <w:multiLevelType w:val="hybridMultilevel"/>
    <w:lvl w:ilvl="0">
      <w:lvlJc w:val="left"/>
      <w:lvlText w:val="%1."/>
      <w:numFmt w:val="upperLetter"/>
      <w:start w:val="1"/>
    </w:lvl>
  </w:abstractNum>
  <w:abstractNum w:abstractNumId="25">
    <w:nsid w:val="737B8DDC"/>
    <w:multiLevelType w:val="hybridMultilevel"/>
    <w:lvl w:ilvl="0">
      <w:lvlJc w:val="left"/>
      <w:lvlText w:val="(%1)"/>
      <w:numFmt w:val="upperLetter"/>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2026-04-29T14:51:14Z</dcterms:created>
  <dcterms:modified xsi:type="dcterms:W3CDTF">2026-04-29T14:51:14Z</dcterms:modified>
</cp:coreProperties>
</file>