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24" w:right="420" w:hanging="424"/>
        <w:spacing w:after="0" w:line="237" w:lineRule="auto"/>
        <w:tabs>
          <w:tab w:leader="none" w:pos="47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83"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30, 2023</w:t>
      </w:r>
    </w:p>
    <w:p>
      <w:pPr>
        <w:spacing w:after="0" w:line="2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24" w:right="20" w:hanging="424"/>
        <w:spacing w:after="0" w:line="262" w:lineRule="auto"/>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76"/>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Commission File Number: 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414020</wp:posOffset>
            </wp:positionV>
            <wp:extent cx="1062990" cy="1174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3"/>
          <w:szCs w:val="43"/>
          <w:b w:val="1"/>
          <w:bCs w:val="1"/>
          <w:color w:val="auto"/>
        </w:rPr>
        <w:t>Landstar System, Inc.</w:t>
      </w:r>
    </w:p>
    <w:p>
      <w:pPr>
        <w:spacing w:after="0" w:line="5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284"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jc w:val="center"/>
              <w:ind w:right="12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20" w:type="dxa"/>
            <w:vAlign w:val="bottom"/>
            <w:gridSpan w:val="2"/>
          </w:tcPr>
          <w:p>
            <w:pPr>
              <w:jc w:val="right"/>
              <w:ind w:right="1722"/>
              <w:spacing w:after="0"/>
              <w:rPr>
                <w:sz w:val="20"/>
                <w:szCs w:val="20"/>
                <w:color w:val="auto"/>
              </w:rPr>
            </w:pPr>
            <w:r>
              <w:rPr>
                <w:rFonts w:ascii="Times New Roman" w:cs="Times New Roman" w:eastAsia="Times New Roman" w:hAnsi="Times New Roman"/>
                <w:sz w:val="18"/>
                <w:szCs w:val="18"/>
                <w:b w:val="1"/>
                <w:bCs w:val="1"/>
                <w:color w:val="auto"/>
              </w:rPr>
              <w:t>06-1313069</w:t>
            </w:r>
          </w:p>
        </w:tc>
        <w:tc>
          <w:tcPr>
            <w:tcW w:w="20" w:type="dxa"/>
            <w:vAlign w:val="bottom"/>
          </w:tcPr>
          <w:p>
            <w:pPr>
              <w:spacing w:after="0"/>
              <w:rPr>
                <w:sz w:val="18"/>
                <w:szCs w:val="18"/>
                <w:color w:val="auto"/>
              </w:rPr>
            </w:pPr>
          </w:p>
        </w:tc>
      </w:tr>
      <w:tr>
        <w:trPr>
          <w:trHeight w:val="148"/>
        </w:trPr>
        <w:tc>
          <w:tcPr>
            <w:tcW w:w="40" w:type="dxa"/>
            <w:vAlign w:val="bottom"/>
          </w:tcPr>
          <w:p>
            <w:pPr>
              <w:spacing w:after="0"/>
              <w:rPr>
                <w:sz w:val="12"/>
                <w:szCs w:val="12"/>
                <w:color w:val="auto"/>
              </w:rPr>
            </w:pPr>
          </w:p>
        </w:tc>
        <w:tc>
          <w:tcPr>
            <w:tcW w:w="3140" w:type="dxa"/>
            <w:vAlign w:val="bottom"/>
            <w:gridSpan w:val="2"/>
          </w:tcPr>
          <w:p>
            <w:pPr>
              <w:jc w:val="center"/>
              <w:ind w:right="136"/>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40" w:type="dxa"/>
            <w:vAlign w:val="bottom"/>
            <w:gridSpan w:val="3"/>
          </w:tcPr>
          <w:p>
            <w:pPr>
              <w:jc w:val="center"/>
              <w:ind w:right="1680"/>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40" w:type="dxa"/>
            <w:vAlign w:val="bottom"/>
          </w:tcPr>
          <w:p>
            <w:pPr>
              <w:spacing w:after="0"/>
              <w:rPr>
                <w:sz w:val="16"/>
                <w:szCs w:val="16"/>
                <w:color w:val="auto"/>
              </w:rPr>
            </w:pPr>
          </w:p>
        </w:tc>
        <w:tc>
          <w:tcPr>
            <w:tcW w:w="3140" w:type="dxa"/>
            <w:vAlign w:val="bottom"/>
            <w:gridSpan w:val="2"/>
          </w:tcPr>
          <w:p>
            <w:pPr>
              <w:jc w:val="center"/>
              <w:ind w:right="156"/>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4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r>
        <w:trPr>
          <w:trHeight w:val="404"/>
        </w:trPr>
        <w:tc>
          <w:tcPr>
            <w:tcW w:w="40" w:type="dxa"/>
            <w:vAlign w:val="bottom"/>
          </w:tcPr>
          <w:p>
            <w:pPr>
              <w:spacing w:after="0"/>
              <w:rPr>
                <w:sz w:val="24"/>
                <w:szCs w:val="24"/>
                <w:color w:val="auto"/>
              </w:rPr>
            </w:pPr>
          </w:p>
        </w:tc>
        <w:tc>
          <w:tcPr>
            <w:tcW w:w="314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9"/>
              </w:rPr>
              <w:t>13410 Sutton Park Drive South</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20" w:type="dxa"/>
            <w:vAlign w:val="bottom"/>
            <w:gridSpan w:val="2"/>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32224</w:t>
            </w:r>
          </w:p>
        </w:tc>
        <w:tc>
          <w:tcPr>
            <w:tcW w:w="20" w:type="dxa"/>
            <w:vAlign w:val="bottom"/>
          </w:tcPr>
          <w:p>
            <w:pPr>
              <w:spacing w:after="0"/>
              <w:rPr>
                <w:sz w:val="24"/>
                <w:szCs w:val="24"/>
                <w:color w:val="auto"/>
              </w:rPr>
            </w:pPr>
          </w:p>
        </w:tc>
      </w:tr>
      <w:tr>
        <w:trPr>
          <w:trHeight w:val="148"/>
        </w:trPr>
        <w:tc>
          <w:tcPr>
            <w:tcW w:w="40" w:type="dxa"/>
            <w:vAlign w:val="bottom"/>
          </w:tcPr>
          <w:p>
            <w:pPr>
              <w:spacing w:after="0"/>
              <w:rPr>
                <w:sz w:val="12"/>
                <w:szCs w:val="12"/>
                <w:color w:val="auto"/>
              </w:rPr>
            </w:pPr>
          </w:p>
        </w:tc>
        <w:tc>
          <w:tcPr>
            <w:tcW w:w="3140" w:type="dxa"/>
            <w:vAlign w:val="bottom"/>
            <w:gridSpan w:val="2"/>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Jacksonville, Florida</w:t>
            </w: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2"/>
          </w:tcPr>
          <w:p>
            <w:pPr>
              <w:jc w:val="center"/>
              <w:ind w:right="1840"/>
              <w:spacing w:after="0" w:line="149" w:lineRule="exact"/>
              <w:rPr>
                <w:sz w:val="20"/>
                <w:szCs w:val="20"/>
                <w:color w:val="auto"/>
              </w:rPr>
            </w:pPr>
            <w:r>
              <w:rPr>
                <w:rFonts w:ascii="Times New Roman" w:cs="Times New Roman" w:eastAsia="Times New Roman" w:hAnsi="Times New Roman"/>
                <w:sz w:val="14"/>
                <w:szCs w:val="14"/>
                <w:i w:val="1"/>
                <w:iCs w:val="1"/>
                <w:color w:val="auto"/>
              </w:rPr>
              <w:t>(Zip Code)</w:t>
            </w:r>
          </w:p>
        </w:tc>
      </w:tr>
      <w:tr>
        <w:trPr>
          <w:trHeight w:val="190"/>
        </w:trPr>
        <w:tc>
          <w:tcPr>
            <w:tcW w:w="40" w:type="dxa"/>
            <w:vAlign w:val="bottom"/>
          </w:tcPr>
          <w:p>
            <w:pPr>
              <w:spacing w:after="0"/>
              <w:rPr>
                <w:sz w:val="16"/>
                <w:szCs w:val="16"/>
                <w:color w:val="auto"/>
              </w:rPr>
            </w:pPr>
          </w:p>
        </w:tc>
        <w:tc>
          <w:tcPr>
            <w:tcW w:w="3140" w:type="dxa"/>
            <w:vAlign w:val="bottom"/>
            <w:gridSpan w:val="2"/>
          </w:tcPr>
          <w:p>
            <w:pPr>
              <w:jc w:val="center"/>
              <w:ind w:right="136"/>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gridSpan w:val="2"/>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(904) 398-9400</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360" w:type="dxa"/>
            <w:vAlign w:val="bottom"/>
            <w:gridSpan w:val="4"/>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5"/>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60" w:type="dxa"/>
            <w:vAlign w:val="bottom"/>
            <w:gridSpan w:val="4"/>
          </w:tcPr>
          <w:p>
            <w:pPr>
              <w:jc w:val="center"/>
              <w:ind w:left="75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60" w:type="dxa"/>
            <w:vAlign w:val="bottom"/>
          </w:tcPr>
          <w:p>
            <w:pPr>
              <w:spacing w:after="0"/>
              <w:rPr>
                <w:sz w:val="24"/>
                <w:szCs w:val="24"/>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5"/>
        </w:trPr>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9"/>
              </w:rPr>
              <w:t>Common Stock</w:t>
            </w:r>
          </w:p>
        </w:tc>
        <w:tc>
          <w:tcPr>
            <w:tcW w:w="2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LSTR</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20" w:type="dxa"/>
            <w:vAlign w:val="bottom"/>
          </w:tcPr>
          <w:p>
            <w:pPr>
              <w:spacing w:after="0"/>
              <w:rPr>
                <w:sz w:val="19"/>
                <w:szCs w:val="19"/>
                <w:color w:val="auto"/>
              </w:rPr>
            </w:pPr>
          </w:p>
        </w:tc>
      </w:tr>
    </w:tbl>
    <w:p>
      <w:pPr>
        <w:spacing w:after="0" w:line="63"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1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44" w:right="700"/>
        <w:spacing w:after="0" w:line="36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p>
      <w:pPr>
        <w:spacing w:after="0" w:line="39" w:lineRule="exact"/>
        <w:rPr>
          <w:sz w:val="24"/>
          <w:szCs w:val="24"/>
          <w:color w:val="auto"/>
        </w:rPr>
      </w:pPr>
    </w:p>
    <w:p>
      <w:pPr>
        <w:ind w:left="4" w:right="2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4" w:right="1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0964"/>
          </w:cols>
          <w:pgMar w:left="436" w:top="376" w:right="499" w:bottom="0" w:gutter="0" w:footer="0" w:header="0"/>
        </w:sectPr>
      </w:pPr>
    </w:p>
    <w:bookmarkStart w:id="1" w:name="page2"/>
    <w:bookmarkEnd w:id="1"/>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20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was $6,856,148,000 (based on the per share closing price on July 1, 2023, the last business day of the Company’s second fiscal quarter, as reported on the NASDAQ Global Select Market). In making this calculation, the registrant has assumed, without admitting for any purpose, that all directors and executive officers of the registrant, and no other persons, are affiliates.</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par value $0.01 per share (the “Common Stock”), outstanding as of the close of business on January 26, 2024 was 35,716,673.</w:t>
      </w:r>
    </w:p>
    <w:p>
      <w:pPr>
        <w:sectPr>
          <w:pgSz w:w="11900" w:h="16838" w:orient="portrait"/>
          <w:cols w:equalWidth="0" w:num="1">
            <w:col w:w="10980"/>
          </w:cols>
          <w:pgMar w:left="440" w:top="121" w:right="479" w:bottom="1440" w:gutter="0" w:footer="0" w:header="0"/>
        </w:sectPr>
      </w:pPr>
    </w:p>
    <w:p>
      <w:pPr>
        <w:spacing w:after="0" w:line="15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Portions of the following document are incorporated by reference in this Form 10-K as indicated herein:</w:t>
      </w:r>
    </w:p>
    <w:p>
      <w:pPr>
        <w:spacing w:after="0" w:line="200" w:lineRule="exact"/>
        <w:rPr>
          <w:sz w:val="20"/>
          <w:szCs w:val="20"/>
          <w:color w:val="auto"/>
        </w:rPr>
      </w:pPr>
    </w:p>
    <w:p>
      <w:pPr>
        <w:spacing w:after="0" w:line="3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u w:val="single" w:color="auto"/>
          <w:color w:val="auto"/>
        </w:rPr>
        <w:t>Document</w:t>
      </w:r>
    </w:p>
    <w:p>
      <w:pPr>
        <w:spacing w:after="0" w:line="27" w:lineRule="exact"/>
        <w:rPr>
          <w:sz w:val="20"/>
          <w:szCs w:val="20"/>
          <w:color w:val="auto"/>
        </w:rPr>
      </w:pPr>
    </w:p>
    <w:p>
      <w:pPr>
        <w:ind w:left="880"/>
        <w:spacing w:after="0" w:line="258" w:lineRule="auto"/>
        <w:rPr>
          <w:sz w:val="20"/>
          <w:szCs w:val="20"/>
          <w:color w:val="auto"/>
        </w:rPr>
      </w:pPr>
      <w:r>
        <w:rPr>
          <w:rFonts w:ascii="Times New Roman" w:cs="Times New Roman" w:eastAsia="Times New Roman" w:hAnsi="Times New Roman"/>
          <w:sz w:val="18"/>
          <w:szCs w:val="18"/>
          <w:color w:val="auto"/>
        </w:rPr>
        <w:t>Proxy Statement relating to Landstar System, Inc.’s Annual Meeting of Stockholders scheduled to be held on 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Part of 10-K</w:t>
      </w:r>
    </w:p>
    <w:p>
      <w:pPr>
        <w:jc w:val="center"/>
        <w:ind w:right="860"/>
        <w:spacing w:after="0" w:line="229" w:lineRule="auto"/>
        <w:rPr>
          <w:sz w:val="20"/>
          <w:szCs w:val="20"/>
          <w:color w:val="auto"/>
        </w:rPr>
      </w:pPr>
      <w:r>
        <w:rPr>
          <w:rFonts w:ascii="Times New Roman" w:cs="Times New Roman" w:eastAsia="Times New Roman" w:hAnsi="Times New Roman"/>
          <w:sz w:val="14"/>
          <w:szCs w:val="14"/>
          <w:b w:val="1"/>
          <w:bCs w:val="1"/>
          <w:color w:val="auto"/>
        </w:rPr>
        <w:t>Into Which</w:t>
      </w:r>
    </w:p>
    <w:p>
      <w:pPr>
        <w:jc w:val="center"/>
        <w:ind w:right="860"/>
        <w:spacing w:after="0"/>
        <w:rPr>
          <w:sz w:val="20"/>
          <w:szCs w:val="20"/>
          <w:color w:val="auto"/>
        </w:rPr>
      </w:pPr>
      <w:r>
        <w:rPr>
          <w:rFonts w:ascii="Times New Roman" w:cs="Times New Roman" w:eastAsia="Times New Roman" w:hAnsi="Times New Roman"/>
          <w:sz w:val="14"/>
          <w:szCs w:val="14"/>
          <w:b w:val="1"/>
          <w:bCs w:val="1"/>
          <w:u w:val="single" w:color="auto"/>
          <w:color w:val="auto"/>
        </w:rPr>
        <w:t>Incorporated</w:t>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 III</w:t>
      </w:r>
    </w:p>
    <w:p>
      <w:pPr>
        <w:sectPr>
          <w:pgSz w:w="11900" w:h="16838" w:orient="portrait"/>
          <w:cols w:equalWidth="0" w:num="2">
            <w:col w:w="8740" w:space="560"/>
            <w:col w:w="1680"/>
          </w:cols>
          <w:pgMar w:left="440" w:top="121"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gridSpan w:val="9"/>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LANDSTAR SYSTEM,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20" w:type="dxa"/>
            <w:vAlign w:val="bottom"/>
            <w:gridSpan w:val="11"/>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2023 ANNUAL REPORT ON 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9"/>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7"/>
            <w:vMerge w:val="restart"/>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4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878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6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86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96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7"/>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400" w:type="dxa"/>
            <w:vAlign w:val="bottom"/>
            <w:tcBorders>
              <w:top w:val="single" w:sz="8" w:color="0000EE"/>
            </w:tcBorders>
            <w:gridSpan w:val="18"/>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2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53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tcBorders>
              <w:top w:val="single" w:sz="8" w:color="0000EE"/>
            </w:tcBorders>
            <w:gridSpan w:val="11"/>
          </w:tcPr>
          <w:p>
            <w:pPr>
              <w:spacing w:after="0"/>
              <w:rPr>
                <w:sz w:val="17"/>
                <w:szCs w:val="17"/>
                <w:color w:val="auto"/>
              </w:rPr>
            </w:pPr>
          </w:p>
        </w:tc>
        <w:tc>
          <w:tcPr>
            <w:tcW w:w="32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9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8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5"/>
          </w:tcPr>
          <w:p>
            <w:pPr>
              <w:spacing w:after="0"/>
              <w:rPr>
                <w:sz w:val="17"/>
                <w:szCs w:val="17"/>
                <w:color w:val="auto"/>
              </w:rPr>
            </w:pPr>
          </w:p>
        </w:tc>
        <w:tc>
          <w:tcPr>
            <w:tcW w:w="56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42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7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7"/>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 – 31.1 Section 302 CEO 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 – 31.2 Section 302 CFO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 – 32.1 Section 906 CEO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 – 32.2 Section 906 CFO Certification</w:t>
      </w:r>
    </w:p>
    <w:p>
      <w:pPr>
        <w:sectPr>
          <w:pgSz w:w="11900" w:h="16838" w:orient="portrait"/>
          <w:cols w:equalWidth="0" w:num="1">
            <w:col w:w="10960"/>
          </w:cols>
          <w:pgMar w:left="440" w:top="293"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Landstar System, Inc. was incorporated in January 1991 under the laws of the State of Delaware and has been a publicly held company since its initial public offering in March 1993. The principal executive offices of Landstar System, Inc. (collectively with its subsidiaries and other affiliated companies referred to herein as “Landstar” or the “Company,” unless the context otherwise requires) is located at 13410 Sutton Park Drive South, Jacksonville, Florida 32224 and its telephone number is (904) 398-9400. The Company makes available free of charge through its website its annual report on Form 10-K, quarterly reports on Form 10-Q, current reports on Form 8-K, proxy statements on Schedule 14A and any amendments to those reports filed or furnished pursuant to Section 13(a) and 15(d) of the Exchange Act as soon as reasonably practicable after such material is electronically filed with the Securities and Exchange Commission (“SEC”). The Company’s website is www.landstar.com. The SEC maintains a website at http://www.sec.gov that contains the Company’s current and periodic reports, proxy and information statements and other information filed electronically with the SEC.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Landstar, is a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over 1,000 independent commission sales agents and over 85,000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88"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Landstar markets its integrated transportation management solutions primarily through independent commission sales agents and exclusively utilizes third party capacity providers to transport customers’ freight.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$5.3 billion during the most recently completed fiscal year. The Company reports the results of two operating segments: the transportation logistics segment and the insurance segment.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Logistics Segment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See “Notes to Consolidated Financial Statements” for the amount of revenue from external customers, measure of profit and total assets attributable to the transportation logistics segment for the last three fiscal years.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93" w:right="519" w:bottom="1440" w:gutter="0" w:footer="0" w:header="0"/>
        </w:sectPr>
      </w:pPr>
    </w:p>
    <w:bookmarkStart w:id="4" w:name="page5"/>
    <w:bookmarkEnd w:id="4"/>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Truck Transportation Services</w:t>
      </w:r>
      <w:r>
        <w:rPr>
          <w:rFonts w:ascii="Times New Roman" w:cs="Times New Roman" w:eastAsia="Times New Roman" w:hAnsi="Times New Roman"/>
          <w:sz w:val="18"/>
          <w:szCs w:val="18"/>
          <w:color w:val="auto"/>
        </w:rPr>
        <w:t>. The transportation logistics segment’s truck transportation services include a full array of truckload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wide range of commodities and, to a lesser degree, less-than-truckload and other truck transportation services. A significant portion of the Company’s truckload services is priced in the spot market and delivered over irregular or non-repetitive routes, while approximately 25% of the Company’s fiscal year 2023 truck transportation revenue was generated by BCO Independent Contractors utilizing Landstar provided trailing equipment, which frequently is used on more routine, regular routes. The Company utilizes a broad assortment of equipment, including dry and specialty vans of various sizes, unsided/platform trailers (including flatbeds, drop decks and specialty trailers) and temperature-controlled vans. Available truck transportation services also include short-to-long haul movement of containers by truck and expedited ground and dedicated power-only truck capacity. During fiscal year 2023, revenue generated by BCO Independent Contractors and Truck Brokerage Carriers was 38% and 53%, respectively, of consolidated revenue. Also, during fiscal year 2023, truck transportation revenue generated via van equipment and unsided/platform trailing equipment was 57% and 31%, respectively, of truck transportation revenue and less-than-truckload and other truck transportation revenue was 2% and 10%, respectively, of truck transportation revenue. The Company’s truck transportation services contributed 91% of consolidated revenue in fiscal year 2023, 89% of consolidated revenue in fiscal year 2022 and 91% of consolidated revenue in fiscal year 2021.</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Rail Intermodal Services. </w:t>
      </w:r>
      <w:r>
        <w:rPr>
          <w:rFonts w:ascii="Times New Roman" w:cs="Times New Roman" w:eastAsia="Times New Roman" w:hAnsi="Times New Roman"/>
          <w:sz w:val="18"/>
          <w:szCs w:val="18"/>
          <w:color w:val="auto"/>
        </w:rPr>
        <w:t>The transportation logistics segment’s rail intermodal services operate with contracts with Class 1 domestic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railroads, certain short-line railroads and most major asset-based intermodal equipment providers, including agreements with stacktrain operators and container and trailing equipment companies. In addition, the transportation logistics segment’s rail intermodal services operate with contracts with a vast network of local trucking companies that handle pick-up and delivery of rail freight. These contracts provide the transportation logistics segment the ability to transport freight via rail throughout the United States, Canada and Mexico. The transportation logistics segment’s rail intermodal service capabilities include trailer on flat car, container on flat car, box car and railcar. The transportation logistics segment’s rail intermodal services contributed 2% of consolidated revenue in each of fiscal years 2023, 2022 and 2021.</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Air and Ocean Services. </w:t>
      </w:r>
      <w:r>
        <w:rPr>
          <w:rFonts w:ascii="Times New Roman" w:cs="Times New Roman" w:eastAsia="Times New Roman" w:hAnsi="Times New Roman"/>
          <w:sz w:val="18"/>
          <w:szCs w:val="18"/>
          <w:color w:val="auto"/>
        </w:rPr>
        <w:t>The transportation logistics segment provides domestic and international air services and ocean services to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executes international air freight transportation as an International Air Transport Association (“IATA”) certified Indirect Air Carrier (“IAC”) and international ocean freight transportation as an Ocean Transportation Intermediary (“OTI”) licensed by the Federal Maritime Commission (“FMC”) as a non-vessel operating common carrier (“NVOCC”) and ocean freight forwarder. Through its network of independent commission sales agents, relationships within a global network of foreign transportation intermediaries and contracts with a number of airlines and ocean lines, the transportation logistics segment provides efficient and cost effective door-to-door transportation to most points in the world for a vast array of cargo types such as over-sized break bulk, consolidations, full container loads, less-than container loads and refrigerated freight. The transportation logistics segment’s air and ocean services contributed 5% of consolidated revenue in fiscal year 2023, 8% of consolidated revenue in fiscal year 2022 and 5% of consolidated revenue in fiscal year 2021.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Segment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insurance segment is comprised of Signature Insurance Company (“Signature”), a wholly owned offshore insurance subsidiary, and Risk Management Claim Services, Inc. (“RMCS”).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of loss is ultimately borne by Signature. Revenue at the insurance segment represented approximately 1% of the Company’s consolidated revenue in each of fiscal years 2023, 2022 and 2021. See “Notes to Consolidated Financial Statements” for the amount of revenue from external customers, measure of profit and total assets attributable to the insurance segment for the last three fiscal years.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9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Factors Significant to the Company’s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believes the following factors are particularly significant to the Company’s operations: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Agent Network</w:t>
      </w:r>
    </w:p>
    <w:p>
      <w:pPr>
        <w:spacing w:after="0" w:line="121" w:lineRule="exact"/>
        <w:rPr>
          <w:sz w:val="20"/>
          <w:szCs w:val="20"/>
          <w:color w:val="auto"/>
        </w:rPr>
      </w:pPr>
    </w:p>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t>The Company’s primary day-to-day contact with its customers is through its network of independent commission sales agents and, to a lesser extent, through employees of the Company. The typical Landstar independent commission sales agent maintains a relationship with a number of shippers and services these shippers utilizing the Company’s digital technologies and extensive network of third party capacity that provides various modes of transportation services to the Company. The Company provides assistance to the agents in developing additional relationships with shippers and enhancing agent and Company relationships with larger shippers through the Company’s field employees, located throughout the United States and Canada. The Operating Subsidiaries provide programs to support the agents’ operations and tools and data to assist agents in establishing pricing for freight hauled by the various modes of transportation available to the agents. It is important to note that the Operating Subsidiaries, and not the Company’s agents, contract directly with customers and generally assume the related credit risk and potential liability for freight losses or damages when the Company is providing transportation services as a motor carrier.</w:t>
      </w:r>
    </w:p>
    <w:p>
      <w:pPr>
        <w:spacing w:after="0" w:line="80" w:lineRule="exact"/>
        <w:rPr>
          <w:sz w:val="20"/>
          <w:szCs w:val="20"/>
          <w:color w:val="auto"/>
        </w:rPr>
      </w:pPr>
    </w:p>
    <w:p>
      <w:pPr>
        <w:ind w:left="440" w:right="40" w:firstLine="423"/>
        <w:spacing w:after="0" w:line="253" w:lineRule="auto"/>
        <w:rPr>
          <w:sz w:val="20"/>
          <w:szCs w:val="20"/>
          <w:color w:val="auto"/>
        </w:rPr>
      </w:pPr>
      <w:r>
        <w:rPr>
          <w:rFonts w:ascii="Times New Roman" w:cs="Times New Roman" w:eastAsia="Times New Roman" w:hAnsi="Times New Roman"/>
          <w:sz w:val="18"/>
          <w:szCs w:val="18"/>
          <w:color w:val="auto"/>
        </w:rPr>
        <w:t>Management believes the Company has more independent commission sales agents than any other asset-light integrated transportation management solutions company in the United States. Landstar’s vast network of independent commission sales agent locations provides the Company regular contact with shippers at the local level and the capability to be highly responsive to shippers’ changing needs. The Company’s large network of available capacity provides independent commission sales agents with the resources needed to service both large and small shippers. Through its agent network, the Company offers smaller shippers a level of service comparable to that typically enjoyed only by larger customers. Examples include the ability to provide transportation services on short notice, multiple pick-up and delivery points, automated information flow, access to specialized equipment, spotted van trailers and drop-and-hook operations. While the majority of the agents in the Company’s network arrange truck transportation services for shippers, a number of the Company’s agents specialize in certain types of freight and transportation services (such as oversized or heavy loads and/or rail, air and international freight transportation). Each independent commission sales agent has the opportunity to market all of the services provided by the transportation logistics segment.</w:t>
      </w:r>
    </w:p>
    <w:p>
      <w:pPr>
        <w:spacing w:after="0" w:line="86" w:lineRule="exact"/>
        <w:rPr>
          <w:sz w:val="20"/>
          <w:szCs w:val="20"/>
          <w:color w:val="auto"/>
        </w:rPr>
      </w:pPr>
    </w:p>
    <w:p>
      <w:pPr>
        <w:ind w:left="440" w:right="40" w:firstLine="423"/>
        <w:spacing w:after="0" w:line="255" w:lineRule="auto"/>
        <w:rPr>
          <w:sz w:val="20"/>
          <w:szCs w:val="20"/>
          <w:color w:val="auto"/>
        </w:rPr>
      </w:pPr>
      <w:r>
        <w:rPr>
          <w:rFonts w:ascii="Times New Roman" w:cs="Times New Roman" w:eastAsia="Times New Roman" w:hAnsi="Times New Roman"/>
          <w:sz w:val="18"/>
          <w:szCs w:val="18"/>
          <w:color w:val="auto"/>
        </w:rPr>
        <w:t>The independent commission sales agents use a variety of digital technologies provided by the Company to service the requirements of shippers. For truckload services, the Company’s independent commission sales agents primarily use Landstar proprietary software which enables agents to enter available freight, dispatch capacity and process most administrative tasks and then communicate that information to Landstar and its capacity providers through cloud-based applications. The Company’s cloud-based available truck information system provides a listing of available truck capacity to the Company’s independent commission sales agents. The Company also offers independent commission sales agents a variety of proprietary pricing, operational and financial tools via web or mobile applications. For modes of transportation other than truckload, the independent commission sales agents utilize both proprietary and third party information technology applications provided by the Company.</w:t>
      </w:r>
    </w:p>
    <w:p>
      <w:pPr>
        <w:spacing w:after="0" w:line="81" w:lineRule="exact"/>
        <w:rPr>
          <w:sz w:val="20"/>
          <w:szCs w:val="20"/>
          <w:color w:val="auto"/>
        </w:rPr>
      </w:pPr>
    </w:p>
    <w:p>
      <w:pPr>
        <w:ind w:left="440" w:right="180" w:firstLine="423"/>
        <w:spacing w:after="0" w:line="255" w:lineRule="auto"/>
        <w:rPr>
          <w:sz w:val="20"/>
          <w:szCs w:val="20"/>
          <w:color w:val="auto"/>
        </w:rPr>
      </w:pPr>
      <w:r>
        <w:rPr>
          <w:rFonts w:ascii="Times New Roman" w:cs="Times New Roman" w:eastAsia="Times New Roman" w:hAnsi="Times New Roman"/>
          <w:sz w:val="18"/>
          <w:szCs w:val="18"/>
          <w:color w:val="auto"/>
        </w:rPr>
        <w:t>Commissions to agents are based on contractually agreed-upon percentages of (i) revenue, (ii) revenue less the cost of purchased transportation, or (iii) revenue less a contractually agreed 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w:t>
      </w:r>
    </w:p>
    <w:p>
      <w:pPr>
        <w:spacing w:after="0" w:line="81"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The Company had 524 and 625 agents that each generated at least $1 million in Landstar revenue (the “Million Dollar Agents”) during fiscal years 2023 and 2022, respectively. Landstar revenue from the Million Dollar Agents in the aggregate represented 95% and 97% of consolidated revenue in 2023 and 2022, respectively. Included among the Company’s Million Dollar Agents, the Company had 87 independent sales agencies that generated at least $10 million in Landstar revenue during the 2023 fiscal year, which in aggregate comprised approximately 68% of Landstar’s consolidated revenue. Management believes that the majority of the Million Dollar Agents choose to represent the Company exclusively.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3"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Third Party Capacity</w:t>
      </w:r>
    </w:p>
    <w:p>
      <w:pPr>
        <w:spacing w:after="0" w:line="121"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The Company relies exclusively on independent third parties for its hauling capacity other than for trailing equipment owned or leased by the Company and utilized primarily by the BCO Independent Contractors. These third party transportation capacity providers consist of BCO Independent Contractors, Truck Brokerage Carriers, air and ocean cargo carriers and railroads. Landstar’s use of capacity provided by third parties allows it to maintain a lower level of capital investment, resulting in lower fixed costs and a higher return on invested capital. During fiscal year 2023, revenue generated by BCO Independent Contractors, Truck Brokerage Carriers and railroads represented approximately 38%, 53% and 2%, respectively, of the Company’s consolidated revenue. Collectively, revenue generated by air and ocean cargo carriers represented approximately 5% of the Company’s consolidated revenue during fiscal year 2023. Historically, variable contribution margin (defined as variable contribution, which is defined as revenue less variable costs of revenue, divided by revenue) generated from freight hauled by BCO Independent Contractors has been greater than that from freight hauled by other third party capacity providers. However, the Company’s insurance and claims costs, depreciation costs and other operating costs are incurred primarily in support of BCO Independent Contractor capacity. In addition, as further described in the “Corporate Services” section that follows, the Company incurs significantly higher selling, general and administrative costs in support of BCO Independent Contractor capacity as compared to the other modes of transportation. Purchased transportation costs are recognized over the freight transit period as the performance obligation to the customer is completed.</w:t>
      </w:r>
    </w:p>
    <w:p>
      <w:pPr>
        <w:spacing w:after="0" w:line="77" w:lineRule="exact"/>
        <w:rPr>
          <w:sz w:val="20"/>
          <w:szCs w:val="20"/>
          <w:color w:val="auto"/>
        </w:rPr>
      </w:pPr>
    </w:p>
    <w:p>
      <w:pPr>
        <w:ind w:right="20" w:firstLine="423"/>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BCO Independent Contractors. </w:t>
      </w:r>
      <w:r>
        <w:rPr>
          <w:rFonts w:ascii="Times New Roman" w:cs="Times New Roman" w:eastAsia="Times New Roman" w:hAnsi="Times New Roman"/>
          <w:sz w:val="17"/>
          <w:szCs w:val="17"/>
          <w:color w:val="auto"/>
        </w:rPr>
        <w:t>Management believes the Company has the largest fleet of truckload BCO Independent Contractors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BCO Independent Contractors provide truck capacity to the Company under exclusive lease arrangements. Each BCO Independent Contractor operates under the motor carrier operating authority issued by the U.S. Department of Transportation (“DOT”) to Landstar’s Operating Subsidiary to which such BCO Independent Contractor provides services and has leased his or her equipment. The Company’s network of BCO Independent Contractors provides marketing, operating, customer service, safety, recruiting and retention advantages to the Company.</w:t>
      </w:r>
    </w:p>
    <w:p>
      <w:pPr>
        <w:spacing w:after="0" w:line="62" w:lineRule="exact"/>
        <w:rPr>
          <w:sz w:val="20"/>
          <w:szCs w:val="20"/>
          <w:color w:val="auto"/>
        </w:rPr>
      </w:pPr>
    </w:p>
    <w:p>
      <w:pPr>
        <w:ind w:right="120" w:firstLine="423"/>
        <w:spacing w:after="0" w:line="253" w:lineRule="auto"/>
        <w:rPr>
          <w:sz w:val="20"/>
          <w:szCs w:val="20"/>
          <w:color w:val="auto"/>
        </w:rPr>
      </w:pPr>
      <w:r>
        <w:rPr>
          <w:rFonts w:ascii="Times New Roman" w:cs="Times New Roman" w:eastAsia="Times New Roman" w:hAnsi="Times New Roman"/>
          <w:sz w:val="18"/>
          <w:szCs w:val="18"/>
          <w:color w:val="auto"/>
        </w:rPr>
        <w:t>The Company’s BCO Independent Contractors are compensated primarily based on a contractually agreed-upon percentage of revenue generated by loads they haul. This percentage generally ranges from 62% to 70% where the BCO Independent Contractor provides only a tractor and 73% to 77% where the BCO Independent Contractor provides both a tractor and trailing equipment. The BCO Independent Contractor must pay substantially all of the expenses of operating his/her equipment, including driver wages and benefits, fuel, physical damage insurance, maintenance, highway use taxes and debt service, if applicable. The Company passes 100% of fuel surcharges billed to customers for freight hauled by BCO Independent Contractors to its BCO Independent Contractors. During fiscal year 2023, the Company billed customers</w:t>
      </w:r>
    </w:p>
    <w:p>
      <w:pPr>
        <w:spacing w:after="0" w:line="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$324 million in fuel surcharges and passed 100% of such fuel surcharges to the BCO Independent Contractors. These fuel surcharges are excluded from revenue and the cost of purchased transportation.</w:t>
      </w:r>
    </w:p>
    <w:p>
      <w:pPr>
        <w:spacing w:after="0" w:line="73" w:lineRule="exact"/>
        <w:rPr>
          <w:sz w:val="20"/>
          <w:szCs w:val="20"/>
          <w:color w:val="auto"/>
        </w:rPr>
      </w:pPr>
    </w:p>
    <w:p>
      <w:pPr>
        <w:ind w:right="40" w:firstLine="423"/>
        <w:spacing w:after="0" w:line="238" w:lineRule="auto"/>
        <w:rPr>
          <w:sz w:val="20"/>
          <w:szCs w:val="20"/>
          <w:color w:val="auto"/>
        </w:rPr>
      </w:pPr>
      <w:r>
        <w:rPr>
          <w:rFonts w:ascii="Times New Roman" w:cs="Times New Roman" w:eastAsia="Times New Roman" w:hAnsi="Times New Roman"/>
          <w:sz w:val="18"/>
          <w:szCs w:val="18"/>
          <w:color w:val="auto"/>
        </w:rPr>
        <w:t>The Company maintains an ecosystem of digital technologies and applications through which BCO Independent Contractors can view a comprehensive listing of the Company’s available freight, allowing them to consider rate, size, origin and destination when planning trips. The Company’s LandstarOne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mobile application provides BCO Independent Contractors information on loading opportunities as well as fueling station locations, retail fuel prices, fuel prices net of Landstar-arranged discounts and applicable state fuel tax credits, and equipment inspection site locations. The Landstar Contractors’ Advantage Purchasing Program (“LCAPP”) leverages Landstar’s purchasing power to provide discounts to eligible BCO Independent Contractors when they purchase equipment, fuel, tires and other items. In addition, Landstar Contractor Financing, Inc. provides a source of funds at competitive interest rates to the BCO Independent Contractors to purchase trailing equipment.</w:t>
      </w:r>
    </w:p>
    <w:p>
      <w:pPr>
        <w:spacing w:after="0" w:line="92" w:lineRule="exact"/>
        <w:rPr>
          <w:sz w:val="20"/>
          <w:szCs w:val="20"/>
          <w:color w:val="auto"/>
        </w:rPr>
      </w:pPr>
    </w:p>
    <w:p>
      <w:pPr>
        <w:ind w:right="80" w:firstLine="423"/>
        <w:spacing w:after="0" w:line="253" w:lineRule="auto"/>
        <w:rPr>
          <w:sz w:val="20"/>
          <w:szCs w:val="20"/>
          <w:color w:val="auto"/>
        </w:rPr>
      </w:pPr>
      <w:r>
        <w:rPr>
          <w:rFonts w:ascii="Times New Roman" w:cs="Times New Roman" w:eastAsia="Times New Roman" w:hAnsi="Times New Roman"/>
          <w:sz w:val="18"/>
          <w:szCs w:val="18"/>
          <w:color w:val="auto"/>
        </w:rPr>
        <w:t>The number of trucks provided to the Company by BCO Independent Contractors was 9,809 at December 30, 2023, compared to 11,281 at December 31, 2022. At December 30, 2023, approximately 97% of the trucks provided by BCO Independent Contractors were provided by BCO Independent Contractors who provided five or fewer trucks to the Company. The number of trucks provided by BCO Independent Contractors fluctuates daily as a result of truck recruiting and truck terminations. More trucks were recruited in fiscal year 2023 than in fiscal year 2022 but trucks terminated were higher in fiscal year 2023 than in fiscal year 2022, resulting in an overall net decrease of 1,472 trucks during fiscal year 2023. Landstar’s BCO Independent Contractor truck turnover was approximately 41% in fiscal year 2023, compared to 29% in fiscal year 2022. Approximately 34% of 2023 turnover was attributable to BCO Independent Contractors who had been with the Company for less than one year. Management believes the factors that have historically favorably impacted turnover include the Company’s extensive agent network, the quantity and quality of available freight, the proprietary technology-based tools the Company makes available to BCO Independent Contractors to empower them to manage their businesses, the Company’s programs to reduce the operating costs of its BCO Independent Contractors and Landstar’s reputation for quality, service, reliability and financial strength. Decreasing revenue per load on a sequential basis historically has had an unfavorable impact on BCO Independent Contractor turnover. During fiscal year 2023, revenue per load sequentially decreased quarter to quarter throughout the entire year.</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93" w:right="479" w:bottom="1440" w:gutter="0" w:footer="0" w:header="0"/>
        </w:sectPr>
      </w:pPr>
    </w:p>
    <w:bookmarkStart w:id="7" w:name="page8"/>
    <w:bookmarkEnd w:id="7"/>
    <w:p>
      <w:pPr>
        <w:ind w:right="20" w:firstLine="423"/>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Truck Brokerage Carriers. </w:t>
      </w:r>
      <w:r>
        <w:rPr>
          <w:rFonts w:ascii="Times New Roman" w:cs="Times New Roman" w:eastAsia="Times New Roman" w:hAnsi="Times New Roman"/>
          <w:sz w:val="18"/>
          <w:szCs w:val="18"/>
          <w:color w:val="auto"/>
        </w:rPr>
        <w:t>At December 30, 2023, the Company maintained a database of over 76,000 approved Truck Brokerage Carriers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provide truck capacity to the Company. Truck Brokerage Carriers provide truck capacity to the Company under non-exclusive contractual arrangements and each operates under its own DOT-issued motor carrier operating authority. Truck Brokerage Carriers are paid either a negotiated rate for each load hauled or, to a lesser extent, a contractually agreed-upon fixed rate per load. The Company recruits, approves, establishes contracts with and tracks safety ratings and service records of these third party trucking companies. In addition to providing additional capacity to the Company, the use of Truck Brokerage Carriers enables the Company to pursue different types and quality of freight such as short-haul traffic, less-than-truckload and, in certain instances, lower-priced freight that generally would not be desirable to the Company’s BCO Independent Contractors.</w:t>
      </w:r>
    </w:p>
    <w:p>
      <w:pPr>
        <w:spacing w:after="0" w:line="79"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The Company maintains an ecosystem of digital technologies and applications through which Truck Brokerage Carriers can view a listing of the Company’s freight that is available to them. The Landstar Savings Plus Program leverages Landstar’s purchasing power to provide discounts to eligible Truck Brokerage Carriers when they purchase fuel and equipment and provides the Truck Brokerage Carriers with an electronic payment option.</w:t>
      </w:r>
    </w:p>
    <w:p>
      <w:pPr>
        <w:spacing w:after="0" w:line="70" w:lineRule="exact"/>
        <w:rPr>
          <w:sz w:val="20"/>
          <w:szCs w:val="20"/>
          <w:color w:val="auto"/>
        </w:rPr>
      </w:pPr>
    </w:p>
    <w:p>
      <w:pPr>
        <w:ind w:right="12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Railroads and Air and Ocean Cargo Carriers. </w:t>
      </w:r>
      <w:r>
        <w:rPr>
          <w:rFonts w:ascii="Times New Roman" w:cs="Times New Roman" w:eastAsia="Times New Roman" w:hAnsi="Times New Roman"/>
          <w:sz w:val="18"/>
          <w:szCs w:val="18"/>
          <w:color w:val="auto"/>
        </w:rPr>
        <w:t>The Company has contracts with Class 1 domestic and Canadian railroads, certain short-line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railroads and domestic and international airlines and ocean lines. These relationships allow the Company to pursue the freight best serviced by these forms of transportation capacity. Railroads and ocean cargo carriers are paid either a negotiated rate for each load hauled or a contractually agreed-upon fixed rate per load. Air cargo carriers are generally paid a negotiated rate for each load hauled. The Company also contracts with other third party capacity providers, such as air charter service providers, when required by specific customer needs.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Trailing Equipment</w:t>
      </w:r>
    </w:p>
    <w:p>
      <w:pPr>
        <w:spacing w:after="0" w:line="121" w:lineRule="exact"/>
        <w:rPr>
          <w:sz w:val="20"/>
          <w:szCs w:val="20"/>
          <w:color w:val="auto"/>
        </w:rPr>
      </w:pPr>
    </w:p>
    <w:p>
      <w:pPr>
        <w:ind w:right="100" w:firstLine="423"/>
        <w:spacing w:after="0" w:line="256" w:lineRule="auto"/>
        <w:rPr>
          <w:sz w:val="20"/>
          <w:szCs w:val="20"/>
          <w:color w:val="auto"/>
        </w:rPr>
      </w:pPr>
      <w:r>
        <w:rPr>
          <w:rFonts w:ascii="Times New Roman" w:cs="Times New Roman" w:eastAsia="Times New Roman" w:hAnsi="Times New Roman"/>
          <w:sz w:val="18"/>
          <w:szCs w:val="18"/>
          <w:color w:val="auto"/>
        </w:rPr>
        <w:t>The Company offers its customers a large and diverse fleet of trailing equipment. The following table illustrates the mix of the trailing equipment as of December 30, 2023, either provided by the BCO Independent Contractors or owned or leased by the Company and made available primarily to BCO Independent Contractors. The Company also provides power-only services, as reported in other truck transportation revenue, utilizing trailing equipment generally provided by the shipper or other third party. In general, Truck Brokerage Carriers utilize their own trailing equipment when providing transportation services on behalf of Landstar. Power-only and Truck Brokerage Carrier trailing equipment is not included in the following table:</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Trailers by Type</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Van</w:t>
            </w:r>
          </w:p>
        </w:tc>
        <w:tc>
          <w:tcPr>
            <w:tcW w:w="5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15,046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Unsided/platform, including flatbeds, step decks, drop decks and low boys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Temperature-controlled</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23"/>
        <w:spacing w:after="0" w:line="266" w:lineRule="auto"/>
        <w:rPr>
          <w:sz w:val="20"/>
          <w:szCs w:val="20"/>
          <w:color w:val="auto"/>
        </w:rPr>
      </w:pPr>
      <w:r>
        <w:rPr>
          <w:rFonts w:ascii="Times New Roman" w:cs="Times New Roman" w:eastAsia="Times New Roman" w:hAnsi="Times New Roman"/>
          <w:sz w:val="18"/>
          <w:szCs w:val="18"/>
          <w:color w:val="auto"/>
        </w:rPr>
        <w:t>Specialized services offered by the Company include those provided by a large fleet of flatbed trailers and multi-axle trailers capable of hauling extremely heavy or oversized loads. Management believes the Company, along with its network of capacity providers, offers one of the largest fleets of heavy/specialized trailing equipment in North America.</w:t>
      </w:r>
    </w:p>
    <w:p>
      <w:pPr>
        <w:spacing w:after="0" w:line="68"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At December 30, 2023, 14,270 of the trailers available to the BCO Independent Contractors were owned by the Company and 319 were rented. In addition, at December 30, 2023, 3,428 trailers were provided by the BCO Independent Contractors. Approximately 25% of Landstar’s truck transportation revenue was generated on Landstar-provided trailing equipment during fiscal year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The Company’s customer base is highly diversified and dispersed across many industries, commodities and geographic regions. The Company’s top 100 customers accounted for approximately 46% and 44%, respectively, of consolidated revenue during fiscal years 2023 and 2022. Management believes that the Company’s overall size, ecosystem of digital technologies and applications, geographic coverage, access to equipment and diverse service capability offer the Company significant competitive marketing and operating advantages. These advantages allow the Company to meet the needs of even the largest shippers. Larger shippers often consider reducing the number of authorized carriers they use in favor of a small number of “core carriers,” such as the Company, whose size and diverse service capabilities enable these core carriers to satisfy most of the shippers’ transportation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95" w:right="459" w:bottom="1440" w:gutter="0" w:footer="0" w:header="0"/>
        </w:sectPr>
      </w:pPr>
    </w:p>
    <w:bookmarkStart w:id="8" w:name="page9"/>
    <w:bookmarkEnd w:id="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needs. The Company’s national account customers include the United States Department of Defense and many of the companies included in the Fortune 500. Large shippers also use third party logistics providers (“3PLs”) to outsource the management and coordination of their transportation needs. 3PLs and other transportation companies also utilize the Company’s available transportation capacity to satisfy their obligations to their shippers. There were 11 transportation service providers, including 3PLs, included in the Company’s top 25 customers for fiscal year 2023. Management believes the Company’s network of agents and third party capacity providers allows it to efficiently attract and service smaller shippers which may not be as desirable to other large transportation providers (see above under “Agent Network”). No customer accounted for more than 4% of the Company’s 2023 revenue.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Landstar focuses on providing integrated transportation management solutions which emphasize customer service and information coordination among its independent commission sales agents, customers, capacity providers and employees. The Company continues to focus on identifying, purchasing or developing and implementing software applications and tools which are designed to: (i) assist Landstar independent commission sales agents in efficiently sourcing capacity, pricing transportation services and managing and analyzing the performance of their independent businesses, (ii) assist customers in meeting their transportation needs, (iii) assist third party capacity providers in identifying desirable freight opportunities and operating their independent businesses, and (iv) improve operational and administrative efficiency throughout the Company. Landstar intends to continue to improve and enhance its technologies to meet the total needs of its agents, customers and third party capacity providers and remains engaged in various multi-year projects aimed at increasing efficiencies, primarily through technology, at Landstar and across our agent and third party capacity network.</w:t>
      </w:r>
    </w:p>
    <w:p>
      <w:pPr>
        <w:spacing w:after="0" w:line="188" w:lineRule="exact"/>
        <w:rPr>
          <w:sz w:val="20"/>
          <w:szCs w:val="20"/>
          <w:color w:val="auto"/>
        </w:rPr>
      </w:pPr>
    </w:p>
    <w:p>
      <w:pPr>
        <w:ind w:right="60" w:firstLine="423"/>
        <w:spacing w:after="0" w:line="258" w:lineRule="auto"/>
        <w:rPr>
          <w:sz w:val="20"/>
          <w:szCs w:val="20"/>
          <w:color w:val="auto"/>
        </w:rPr>
      </w:pPr>
      <w:r>
        <w:rPr>
          <w:rFonts w:ascii="Times New Roman" w:cs="Times New Roman" w:eastAsia="Times New Roman" w:hAnsi="Times New Roman"/>
          <w:sz w:val="18"/>
          <w:szCs w:val="18"/>
          <w:color w:val="auto"/>
        </w:rPr>
        <w:t>Management believes leadership in the development, operation and support of an ecosystem of digital technologies and applications is an ongoing part of providing high quality service. The Company has engaged in a multi-year effort to implement a comprehensive strategy focused on the long-term development of leading edge digital tools to empower participants in our network to succeed in the technology-driven transportation logistics marketplace. As part of the execution of this strategy, the Company has launched the following tools to participants within our network:</w:t>
      </w:r>
    </w:p>
    <w:p>
      <w:pPr>
        <w:spacing w:after="0" w:line="89" w:lineRule="exact"/>
        <w:rPr>
          <w:sz w:val="20"/>
          <w:szCs w:val="20"/>
          <w:color w:val="auto"/>
        </w:rPr>
      </w:pPr>
    </w:p>
    <w:p>
      <w:pPr>
        <w:ind w:left="980" w:hanging="331"/>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TMS: A cloud-based platform for truckload freight agent workflow.</w:t>
      </w:r>
    </w:p>
    <w:p>
      <w:pPr>
        <w:spacing w:after="0" w:line="130"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TMS: A cloud-based platform built specifically to service the truckload brokerage contract services market.</w:t>
      </w:r>
    </w:p>
    <w:p>
      <w:pPr>
        <w:spacing w:after="0" w:line="130" w:lineRule="exact"/>
        <w:rPr>
          <w:rFonts w:ascii="Times New Roman" w:cs="Times New Roman" w:eastAsia="Times New Roman" w:hAnsi="Times New Roman"/>
          <w:sz w:val="18"/>
          <w:szCs w:val="18"/>
          <w:color w:val="auto"/>
        </w:rPr>
      </w:pPr>
    </w:p>
    <w:p>
      <w:pPr>
        <w:ind w:left="980" w:right="460" w:hanging="331"/>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 suite of business intelligence applications powered by Microsoft Power BI for independent sales agents and BCO Independent Contractors to access information and identify trends in their businesses.</w:t>
      </w:r>
    </w:p>
    <w:p>
      <w:pPr>
        <w:spacing w:after="0" w:line="67" w:lineRule="exact"/>
        <w:rPr>
          <w:rFonts w:ascii="Times New Roman" w:cs="Times New Roman" w:eastAsia="Times New Roman" w:hAnsi="Times New Roman"/>
          <w:sz w:val="18"/>
          <w:szCs w:val="18"/>
          <w:color w:val="auto"/>
        </w:rPr>
      </w:pPr>
    </w:p>
    <w:p>
      <w:pPr>
        <w:ind w:left="980" w:right="440" w:hanging="331"/>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Landstar-proprietary pricing tools developed with data scientists using historical Company information and third party pricing data to provide independent commission sales agents with near real time market data.</w:t>
      </w:r>
    </w:p>
    <w:p>
      <w:pPr>
        <w:spacing w:after="0" w:line="67" w:lineRule="exact"/>
        <w:rPr>
          <w:rFonts w:ascii="Times New Roman" w:cs="Times New Roman" w:eastAsia="Times New Roman" w:hAnsi="Times New Roman"/>
          <w:sz w:val="18"/>
          <w:szCs w:val="18"/>
          <w:color w:val="auto"/>
        </w:rPr>
      </w:pPr>
    </w:p>
    <w:p>
      <w:pPr>
        <w:ind w:left="980" w:right="40" w:hanging="331"/>
        <w:spacing w:after="0" w:line="22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LandstarOne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 application available to BCO Independent Contractors and third party motor carriers providing a one-stop location for available loading opportunities as well as fueling station locations, retail fuel prices, fuel prices net of Landstar-arranged discounts and applicable state fuel tax credits, and equipment inspection site locations.</w:t>
      </w:r>
    </w:p>
    <w:p>
      <w:pPr>
        <w:spacing w:after="0" w:line="104" w:lineRule="exact"/>
        <w:rPr>
          <w:rFonts w:ascii="Times New Roman" w:cs="Times New Roman" w:eastAsia="Times New Roman" w:hAnsi="Times New Roman"/>
          <w:sz w:val="18"/>
          <w:szCs w:val="18"/>
          <w:color w:val="auto"/>
        </w:rPr>
      </w:pPr>
    </w:p>
    <w:p>
      <w:pPr>
        <w:ind w:left="980" w:right="460" w:hanging="331"/>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Clarity: Landstar’s proprietary freight tracking tool that incorporates geo-locational data from, among other sources, electronic logging devices, trailer tracking devices and third party data aggregators.</w:t>
      </w:r>
    </w:p>
    <w:p>
      <w:pPr>
        <w:spacing w:after="0" w:line="67" w:lineRule="exact"/>
        <w:rPr>
          <w:rFonts w:ascii="Times New Roman" w:cs="Times New Roman" w:eastAsia="Times New Roman" w:hAnsi="Times New Roman"/>
          <w:sz w:val="18"/>
          <w:szCs w:val="18"/>
          <w:color w:val="auto"/>
        </w:rPr>
      </w:pPr>
    </w:p>
    <w:p>
      <w:pPr>
        <w:ind w:left="980" w:right="80" w:hanging="331"/>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Capacity Portals: New and improved cloud-based portals built to provide a single on-ramp to a multitude of applications, tools and information available to Landstar independent agents and capacity providers.</w:t>
      </w:r>
    </w:p>
    <w:p>
      <w:pPr>
        <w:spacing w:after="0" w:line="67" w:lineRule="exact"/>
        <w:rPr>
          <w:rFonts w:ascii="Times New Roman" w:cs="Times New Roman" w:eastAsia="Times New Roman" w:hAnsi="Times New Roman"/>
          <w:sz w:val="18"/>
          <w:szCs w:val="18"/>
          <w:color w:val="auto"/>
        </w:rPr>
      </w:pPr>
    </w:p>
    <w:p>
      <w:pPr>
        <w:ind w:left="980" w:right="440" w:hanging="331"/>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Trailer Tools: Applications empowering independent commission sales agents through the automation of the Company’s trailer request and trailer pool management processes.</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Application that automates the process for independent commission sales agents to request customer credit.</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Since the launch of this initiative in 2016, the Company has invested approximately $158 million in this strategic development effort, including approximately $35 million and $33 million, respectively, in fiscal years 2023 and 2022.</w:t>
      </w:r>
    </w:p>
    <w:p>
      <w:pPr>
        <w:spacing w:after="0" w:line="54" w:lineRule="exact"/>
        <w:rPr>
          <w:sz w:val="20"/>
          <w:szCs w:val="20"/>
          <w:color w:val="auto"/>
        </w:rPr>
      </w:pPr>
    </w:p>
    <w:p>
      <w:pPr>
        <w:jc w:val="both"/>
        <w:ind w:right="200" w:firstLine="423"/>
        <w:spacing w:after="0" w:line="266" w:lineRule="auto"/>
        <w:rPr>
          <w:sz w:val="20"/>
          <w:szCs w:val="20"/>
          <w:color w:val="auto"/>
        </w:rPr>
      </w:pPr>
      <w:r>
        <w:rPr>
          <w:rFonts w:ascii="Times New Roman" w:cs="Times New Roman" w:eastAsia="Times New Roman" w:hAnsi="Times New Roman"/>
          <w:sz w:val="18"/>
          <w:szCs w:val="18"/>
          <w:color w:val="auto"/>
        </w:rPr>
        <w:t>The Company’s information technology systems used in connection with its operations are located in Jacksonville, Florida and, to a lesser extent, in Rockford, Illinois. In addition, the Company utilizes several third party data centers throughout the U.S. Landstar relies, in the regular course of its business, on the proper operation of its information technology systems.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97"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Services</w:t>
      </w:r>
    </w:p>
    <w:p>
      <w:pPr>
        <w:spacing w:after="0" w:line="121" w:lineRule="exact"/>
        <w:rPr>
          <w:sz w:val="20"/>
          <w:szCs w:val="20"/>
          <w:color w:val="auto"/>
        </w:rPr>
      </w:pPr>
    </w:p>
    <w:p>
      <w:pPr>
        <w:ind w:right="160" w:firstLine="423"/>
        <w:spacing w:after="0" w:line="261" w:lineRule="auto"/>
        <w:rPr>
          <w:sz w:val="20"/>
          <w:szCs w:val="20"/>
          <w:color w:val="auto"/>
        </w:rPr>
      </w:pPr>
      <w:r>
        <w:rPr>
          <w:rFonts w:ascii="Times New Roman" w:cs="Times New Roman" w:eastAsia="Times New Roman" w:hAnsi="Times New Roman"/>
          <w:sz w:val="18"/>
          <w:szCs w:val="18"/>
          <w:color w:val="auto"/>
        </w:rPr>
        <w:t>The Company provides many administrative support services to its network of independent commission sales agents, third party capacity providers and customers. Management believes that the mobile and digital applications purchased or developed and maintained by the Company and its administrative support services provide operational and financial advantages to its independent commission sales agents, third party capacity providers and customers. These, in turn, enhance the operational and financial efficiency of all aspects of the network.</w:t>
      </w:r>
    </w:p>
    <w:p>
      <w:pPr>
        <w:spacing w:after="0" w:line="72" w:lineRule="exact"/>
        <w:rPr>
          <w:sz w:val="20"/>
          <w:szCs w:val="20"/>
          <w:color w:val="auto"/>
        </w:rPr>
      </w:pPr>
    </w:p>
    <w:p>
      <w:pPr>
        <w:ind w:right="140" w:firstLine="423"/>
        <w:spacing w:after="0" w:line="256" w:lineRule="auto"/>
        <w:rPr>
          <w:sz w:val="20"/>
          <w:szCs w:val="20"/>
          <w:color w:val="auto"/>
        </w:rPr>
      </w:pPr>
      <w:r>
        <w:rPr>
          <w:rFonts w:ascii="Times New Roman" w:cs="Times New Roman" w:eastAsia="Times New Roman" w:hAnsi="Times New Roman"/>
          <w:sz w:val="18"/>
          <w:szCs w:val="18"/>
          <w:color w:val="auto"/>
        </w:rPr>
        <w:t>Administrative support services that provide operational and financial advantages to the network include customer contract administration, customer credit review and approvals, pricing, customer billing, accounts receivable collections, third party capacity settlement, operator and equipment safety and compliance management for our network of BCO Independent Contractors, insurance claims handling, coordination of vendor discount programs and third party capacity sourcing programs. Marketing and advertising strategies are also provided by the Company. The Company’s practices of accepting customer credit risk and paying its agents and carriers promptly provides a significant competitive advantage to the Company in comparison to less capitalized competitors.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340" w:firstLine="423"/>
        <w:spacing w:after="0" w:line="289" w:lineRule="auto"/>
        <w:rPr>
          <w:sz w:val="20"/>
          <w:szCs w:val="20"/>
          <w:color w:val="auto"/>
        </w:rPr>
      </w:pPr>
      <w:r>
        <w:rPr>
          <w:rFonts w:ascii="Times New Roman" w:cs="Times New Roman" w:eastAsia="Times New Roman" w:hAnsi="Times New Roman"/>
          <w:sz w:val="17"/>
          <w:szCs w:val="17"/>
          <w:color w:val="auto"/>
        </w:rPr>
        <w:t>Landstar competes primarily in the transportation and logistics services industry with truckload carriers, third party logistics companies, digital freight brokers, intermodal transportation and logistics service providers, railroads, less-than-truckload carriers and other asset-light transportation and logistics service providers. The transportation and logistics services industry is extremely competitive and fragmented.</w:t>
      </w:r>
    </w:p>
    <w:p>
      <w:pPr>
        <w:spacing w:after="0" w:line="50"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Management believes that competition for freight transported by the Company is based on service, efficiency, safety and freight rates, which are influenced significantly by the economic environment, particularly the amount of available transportation capacity and freight demand. Management believes that Landstar’s overall size, service offerings and availability of a wide range of equipment, together with its geographically dispersed local independent agent network, present the Company with significant competitive advantages over many transportation and logistics service providers.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Self-Insured Claims</w:t>
      </w:r>
    </w:p>
    <w:p>
      <w:pPr>
        <w:spacing w:after="0" w:line="121"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Potential liability associated with accidents in the trucking industry is severe and occurrences are unpredictable. Landstar retains liability through a self-insured retention for commercial trucking claims up to $5 million per occurrence. Effective May 1, 2019, the Company entered into a three year commercial auto liability insurance arrangement for losses incurred between $5 million and $10 million (the “2019 Initial Excess Policy”) with a third party insurance company. The Company subsequently extended the 2019 Initial Excess Policy for one additional policy year, from May 1, 2022 through April 30, 2023. For commercial trucking claims incurred on or after May 1, 2022 through April 30, 2023, the extended 2019 Initial Excess Policy provides for a limit for a single loss of $5 million, with an aggregate limit of $10 million for the policy period ended April 30, 2023. Effective May 1, 2023, the Company entered into a new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 month term ending April 30, 2026. After payment of the deductible, the 2023 Initial Excess Policy provides for a limit for a single loss of $5 million, with an aggregate limit of $15 million for the thirty-six month term ending April 30, 2026.</w:t>
      </w:r>
    </w:p>
    <w:p>
      <w:pPr>
        <w:spacing w:after="0" w:line="84"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April 30, 2024, the Company experienced an increase of approximately $21 million, or over 380%, in the premiums charged by third party insurance companies to the Company for excess coverage for commercial trucking liabilities in excess of $10 million.</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Moreover, the Company from year to year manages the level of its financial exposure to commercial trucking claims in excess of</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$10 million, including through the use of additional self-insurance, deductibles, aggregate loss limits, quota shares and other arrangements with third party insurance companies, based on the availability of coverage within certain excess insurance coverage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93" w:right="4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$60 million incurred during the annual policy year ending April 30, 2024, the Company would have an aggregate financial exposure of approximately $25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86" w:lineRule="exact"/>
        <w:rPr>
          <w:sz w:val="20"/>
          <w:szCs w:val="20"/>
          <w:color w:val="auto"/>
        </w:rPr>
      </w:pPr>
    </w:p>
    <w:p>
      <w:pPr>
        <w:ind w:right="60" w:firstLine="423"/>
        <w:spacing w:after="0" w:line="254" w:lineRule="auto"/>
        <w:rPr>
          <w:sz w:val="20"/>
          <w:szCs w:val="20"/>
          <w:color w:val="auto"/>
        </w:rPr>
      </w:pPr>
      <w:r>
        <w:rPr>
          <w:rFonts w:ascii="Times New Roman" w:cs="Times New Roman" w:eastAsia="Times New Roman" w:hAnsi="Times New Roman"/>
          <w:sz w:val="18"/>
          <w:szCs w:val="18"/>
          <w:color w:val="auto"/>
        </w:rPr>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Certain of the Operating Subsidiaries are considered motor carriers and/or brokers authorized to arrange for transportation services by motor carriers which are regulated by the Federal Motor Carrier Safety Administration (the “FMCSA”) and by various state agencies. The FMCSA has broad regulatory powers with respect to activities such as motor carrier operations, practices, periodic financial reporting and insurance. Subject to federal and state regulatory authorities or regulation, the Company’s capacity providers may transport most types of freight to and from any point in the United States over any route they select.</w:t>
      </w:r>
    </w:p>
    <w:p>
      <w:pPr>
        <w:spacing w:after="0" w:line="75"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Interstate motor carrier operations are subject to safety requirements prescribed by the FMCSA. Each truck operator, whether working as a BCO Independent Contractor or for a Truck Brokerage Carrier, is required to have a commercial driver’s license and may be subject to mandatory drug and alcohol testing. The FMCSA’s commercial driver’s license and drug and alcohol testing requirements have not adversely affected the Company’s ability to source the capacity necessary to meet its customers’ transportation needs.</w:t>
      </w:r>
    </w:p>
    <w:p>
      <w:pPr>
        <w:spacing w:after="0" w:line="72"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Additionally,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Operating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 In addition, because the U.S. government is one of the Company’s customers, the Company must comply with and is affected by laws and regulations relating to doing business with the federal government.</w:t>
      </w:r>
    </w:p>
    <w:p>
      <w:pPr>
        <w:spacing w:after="0" w:line="84" w:lineRule="exact"/>
        <w:rPr>
          <w:sz w:val="20"/>
          <w:szCs w:val="20"/>
          <w:color w:val="auto"/>
        </w:rPr>
      </w:pPr>
    </w:p>
    <w:p>
      <w:pPr>
        <w:ind w:right="60" w:firstLine="423"/>
        <w:spacing w:after="0" w:line="258" w:lineRule="auto"/>
        <w:rPr>
          <w:sz w:val="20"/>
          <w:szCs w:val="20"/>
          <w:color w:val="auto"/>
        </w:rPr>
      </w:pPr>
      <w:r>
        <w:rPr>
          <w:rFonts w:ascii="Times New Roman" w:cs="Times New Roman" w:eastAsia="Times New Roman" w:hAnsi="Times New Roman"/>
          <w:sz w:val="18"/>
          <w:szCs w:val="18"/>
          <w:color w:val="auto"/>
        </w:rPr>
        <w:t>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discussion of the risks associated with these laws and regulations, see Part I, Item 1A, “Risk Factors.”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97"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Seasonality</w:t>
      </w:r>
    </w:p>
    <w:p>
      <w:pPr>
        <w:spacing w:after="0" w:line="121" w:lineRule="exact"/>
        <w:rPr>
          <w:sz w:val="20"/>
          <w:szCs w:val="20"/>
          <w:color w:val="auto"/>
        </w:rPr>
      </w:pPr>
    </w:p>
    <w:p>
      <w:pPr>
        <w:ind w:right="140" w:firstLine="423"/>
        <w:spacing w:after="0" w:line="258" w:lineRule="auto"/>
        <w:rPr>
          <w:sz w:val="20"/>
          <w:szCs w:val="20"/>
          <w:color w:val="auto"/>
        </w:rPr>
      </w:pPr>
      <w:r>
        <w:rPr>
          <w:rFonts w:ascii="Times New Roman" w:cs="Times New Roman" w:eastAsia="Times New Roman" w:hAnsi="Times New Roman"/>
          <w:sz w:val="18"/>
          <w:szCs w:val="18"/>
          <w:color w:val="auto"/>
        </w:rPr>
        <w:t>Landstar’s operations are subject to seasonal trends common to the trucking industry. Historically, truckload shipments for the quarter ending in March are typically lower than for the quarters ending in June, September and December. The COVID-19 global pandemic and related supply chain issues significantly disrupted these typical seasonal patterns. In particular, the Company’s 2022 and 2023 fiscal year results did not reflect normal seasonal patterns. No assurances can be given regarding the extent to which or when trends common to the trucking industry, in general and to Landstar’s operations, in particular, will return to more typical, pre-pandemic, seasonal patterns.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121"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To attract and retain top talent in our highly competitive industry, we have designed our compensation and benefits programs to provide a balanced and effective reward structure. Our short and long-term incentive programs are aligned with key business objectives and are intended to motivate strong performance. Our employees are eligible to participate in our medical, dental and vision programs, a 401(k) savings/retirement plan, flexible time-off, employer-provided life and disability insurance, our wellness program, our tuition reimbursement program, and an array of voluntary benefits designed to meet individual needs. We engage firms nationally recognized in the benefits area to objectively evaluate our programs and benchmark them against peers and other similarly situated organizations.</w:t>
      </w:r>
    </w:p>
    <w:p>
      <w:pPr>
        <w:spacing w:after="0" w:line="84"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Landstar seeks to compensate employees in a manner that is fair, consistent, and reflective of the external market and provides recognition for the achievement of individual goals, corporate objectives, and professional competencies while maintaining fiscal responsibility. To help us achieve this goal, in 2021, Landstar completed a review of employee compensation that included the establishment of new pay grades and applicable salary ranges for all exempt positions. This review followed a similar review of employee compensation for all information technology positions completed in 2020 and a review of all non-exempt positions completed in 2019. Based on applicable pay grades, salary ranges and market data, Landstar completed an annual salary review for all positions in 2022 in conjunction with its annual review and salary adjustment process.</w:t>
      </w:r>
    </w:p>
    <w:p>
      <w:pPr>
        <w:spacing w:after="0" w:line="81"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As of December 30, 2023, the Company and its subsidiaries employed 1,468 individuals. Three Landstar Ranger drivers (out of a Company total of approximately 9,809 drivers for BCO Independent Contractors) are members of the International Brotherhood of Teamsters. The turnover rate for Landstar employees located in the United States and Canada was 14% in 2023, 17% in 2022 and 13% in 2021. The Company considers relations with its employees to be good.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identified the following employee-focused goals:</w:t>
      </w:r>
    </w:p>
    <w:p>
      <w:pPr>
        <w:spacing w:after="0" w:line="131" w:lineRule="exact"/>
        <w:rPr>
          <w:sz w:val="20"/>
          <w:szCs w:val="20"/>
          <w:color w:val="auto"/>
        </w:rPr>
      </w:pPr>
    </w:p>
    <w:p>
      <w:pPr>
        <w:ind w:left="980" w:right="740" w:hanging="331"/>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maintain an environment in which continuous improvement is encouraged and expected by everyone within the organization;</w:t>
      </w:r>
    </w:p>
    <w:p>
      <w:pPr>
        <w:spacing w:after="0" w:line="67" w:lineRule="exact"/>
        <w:rPr>
          <w:rFonts w:ascii="Times New Roman" w:cs="Times New Roman" w:eastAsia="Times New Roman" w:hAnsi="Times New Roman"/>
          <w:sz w:val="18"/>
          <w:szCs w:val="18"/>
          <w:color w:val="auto"/>
        </w:rPr>
      </w:pPr>
    </w:p>
    <w:p>
      <w:pPr>
        <w:ind w:left="980" w:hanging="331"/>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each Landstar employee in the Company’s vision to inspire and empower entrepreneurs to succeed in the highly competitive, technology driven freight transportation industry; and</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all Landstar employees fully understand the requirements of their job and the role their job plays within Landstar.</w:t>
      </w:r>
    </w:p>
    <w:p>
      <w:pPr>
        <w:spacing w:after="0" w:line="117"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Landstar formally monitors employee satisfaction and engagement through periodic employee satisfaction and engagement surveys. The Company also uses employee roundtable and focus group discussions as well as exit interviews to monitor engagement and satisfaction.</w:t>
      </w:r>
    </w:p>
    <w:p>
      <w:pPr>
        <w:spacing w:after="0" w:line="54"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Landstar provides comprehensive professional development opportunities to employees at all levels. Landstar’s training and development department offers all employees the opportunity to participate in various learning tracks on topics including Leadership, Workplace Safety &amp; Security, Customer Service and other core skills. Courses offered by the training and development department are delivered by Landstar’s team of Association for Talent Development (ATD) certified trainers through both on-line and classroom settings.</w:t>
      </w:r>
    </w:p>
    <w:p>
      <w:pPr>
        <w:spacing w:after="0" w:line="72"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At our core, Landstar is about providing opportunity to people regardless of background. We do not tolerate racism or discriminatory behavior and strongly believe in diversity and inclusion. The Company reaffirms its commitment to equal employment opportunity for all people. The Company complies with all applicable federal and state laws pertaining to equal</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93" w:right="459" w:bottom="1440" w:gutter="0" w:footer="0" w:header="0"/>
        </w:sectPr>
      </w:pPr>
    </w:p>
    <w:bookmarkStart w:id="12" w:name="page13"/>
    <w:bookmarkEnd w:id="12"/>
    <w:p>
      <w:pPr>
        <w:ind w:left="4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employment opportunity and affirmative action. It is our philosophy to treat our employees and applicants fairly without regard to race, color, sex, religion, national origin, disability, present, past, or future service in a branch of the uniformed services of the United States, citizenship, sexual orientation or gender identity. Our management teams and all of our employees are expected to exhibit and promote honest, ethical and respectful conduct in the workplace. All of our employees must adhere to a code of ethics and employee compliance code that set standards for appropriate behavior and includes required annual training.</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As of the end of 2023, a majority of the Company’s employees work remotely or on a hybrid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19"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Increased severity or frequency of accidents and other claims or a material unfavorable development of existing claims. </w:t>
      </w:r>
      <w:r>
        <w:rPr>
          <w:rFonts w:ascii="Times New Roman" w:cs="Times New Roman" w:eastAsia="Times New Roman" w:hAnsi="Times New Roman"/>
          <w:sz w:val="18"/>
          <w:szCs w:val="18"/>
          <w:color w:val="auto"/>
        </w:rPr>
        <w:t>As noted above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1, “Business — Factors Significant to the Company’s Operations — Self-Insured Claims,” potential liability associated with accidents in the trucking industry is severe and occurrences are unpredictable. Landstar retains liability through a self-insured retention for commercial trucking claims up to $5 million per occurrence. Effective May 1, 2019, the Company entered into a three year commercial auto liability insurance arrangement for losses incurred between $5 million and $10 million (the “2019 Initial Excess Policy”) with a third party insurance company. The Company subsequently extended the 2019 Initial Excess Policy for one additional policy year, from May 1, 2022 through April 30, 2023. For commercial trucking claims incurred on or after May 1, 2022 through April 30, 2023, the extended 2019 Initial Excess Policy provides for a limit for a single loss of $5 million, with an aggregate limit of $10 million for the policy period ended April 30, 2023. Effective May 1, 2023, the Company entered into a new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 month term ending April 30, 2026. After payment of the deductible, the 2023 Initial Excess Policy provides for a limit for a single loss of $5 million, with an aggregate limit of $15 million for the thirty-six month term ending April 30, 2026.</w:t>
      </w:r>
    </w:p>
    <w:p>
      <w:pPr>
        <w:spacing w:after="0" w:line="81"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April 30, 2024, the Company experienced an increase of approximately $21 million, or over 380%, in the premiums charged by third party insurance companies to the Company for excess coverage for commercial trucking liabilities in excess of $10 million.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Moreover, the Company from year to year manages the level of its financial exposure to commercial trucking claims in excess of</w:t>
      </w:r>
    </w:p>
    <w:p>
      <w:pPr>
        <w:spacing w:after="0" w:line="27" w:lineRule="exact"/>
        <w:rPr>
          <w:sz w:val="20"/>
          <w:szCs w:val="20"/>
          <w:color w:val="auto"/>
        </w:rPr>
      </w:pPr>
    </w:p>
    <w:p>
      <w:pPr>
        <w:ind w:left="440" w:right="100"/>
        <w:spacing w:after="0" w:line="265" w:lineRule="auto"/>
        <w:rPr>
          <w:sz w:val="20"/>
          <w:szCs w:val="20"/>
          <w:color w:val="auto"/>
        </w:rPr>
      </w:pPr>
      <w:r>
        <w:rPr>
          <w:rFonts w:ascii="Times New Roman" w:cs="Times New Roman" w:eastAsia="Times New Roman" w:hAnsi="Times New Roman"/>
          <w:sz w:val="17"/>
          <w:szCs w:val="17"/>
          <w:color w:val="auto"/>
        </w:rPr>
        <w:t>$10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$60 million incurred during the annual policy year ending April 30, 2024, the Company would have an aggregate financial exposure of approximately</w:t>
      </w:r>
    </w:p>
    <w:p>
      <w:pPr>
        <w:spacing w:after="0" w:line="1"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color w:val="auto"/>
        </w:rPr>
        <w:t>$25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97" w:right="479" w:bottom="1440" w:gutter="0" w:footer="0" w:header="0"/>
        </w:sectPr>
      </w:pPr>
    </w:p>
    <w:bookmarkStart w:id="13" w:name="page14"/>
    <w:bookmarkEnd w:id="13"/>
    <w:p>
      <w:pPr>
        <w:ind w:right="6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82"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Dependence on third party insurance companies. </w:t>
      </w:r>
      <w:r>
        <w:rPr>
          <w:rFonts w:ascii="Times New Roman" w:cs="Times New Roman" w:eastAsia="Times New Roman" w:hAnsi="Times New Roman"/>
          <w:sz w:val="18"/>
          <w:szCs w:val="18"/>
          <w:color w:val="auto"/>
        </w:rPr>
        <w:t>The Company is dependent on a limited number of third party insurance companies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insurance coverage in excess of its self-insured retention amounts. Historically, the Company has maintained insurance coverage for commercial trucking claims in excess of its self-insured retention, up to various maximum amounts, with a limited number of third party insurance companies. In an attempt to manage the cost of insurance and claims, the Company has historically increased or decreased the level of its financial exposure to commercial trucking claims by increasing or decreasing its level of self-insured retention based on the estimated cost differential between proposed premiums from third party insurance companies and historical and actuarially projected losses experienced by the Company at various levels of self-insured retention. Similarly, in its excess insurance layers, the Company may increase or decrease the level of its financial exposure to commercial trucking claims, including through the use of additional self-insurance as well as deductibles, aggregate loss limits, quota shares and other arrangements with third party insurance companies, based on the estimated cost differential between proposed premiums from third party insurance companies and historical and actuarially projected losses experienced by the Company at various levels of excess insurance coverage. To the extent that the third party insurance companies propose increases to their premiums for coverage of commercial trucking claims, the Company may decide to pay such increased premiums or increase its financial exposure on an aggregate, per occurrence or other basis, including by increasing the amount of its self-insured retention. In fact, in recent years, several of the largest third party insurers providing excess coverage for commercial trucking claims in the United States announced that in light of increased severity trends related to the increase in losses attributable to unfavorable verdicts, they would no longer provide such coverage. Decisions by these third party insurers to exit this line of business have had a significant negative impact on the availability and pricing of excess coverage for commercial trucking claims in the United States. No assurances can be given that other third party insurers will not also decide to exit the market as a provider of excess coverage for commercial trucking claims in the United States, which could have a further negative effect on the availability and pricing of such coverage. Accordingly, no assurance can be given that insurance coverage from third party insurers for claims in excess of the Company’s current self-insured retentions will continue to be available on commercially reasonable terms.</w:t>
      </w:r>
    </w:p>
    <w:p>
      <w:pPr>
        <w:spacing w:after="0" w:line="81"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Dependence on independent commission sales agents. </w:t>
      </w:r>
      <w:r>
        <w:rPr>
          <w:rFonts w:ascii="Times New Roman" w:cs="Times New Roman" w:eastAsia="Times New Roman" w:hAnsi="Times New Roman"/>
          <w:sz w:val="18"/>
          <w:szCs w:val="18"/>
          <w:color w:val="auto"/>
        </w:rPr>
        <w:t>As noted above in Item 1, “Business — Factors Significant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 Agent Network,” the Company markets its services primarily through independent commission sales agents. During fiscal year 2023, 524 agents generated revenue for Landstar of at least $1 million each, or in the aggregate approximately 95% of Landstar’s consolidated revenue. Included among these Million Dollar Agents, 87 agents generated at least $10,000,000 of Landstar revenue during the 2023 fiscal year, or in the aggregate approximately 68% of Landstar’s consolidated revenue. Of these larger agencies, one such Landstar independent commission sales agency, itself with a very diversified customer base, generated approximately $553,000,000, or 10%, of Landstar’s consolidated revenue and approximately 6% of Landstar’s consolidated variable contribution in fiscal year 2023.</w:t>
      </w:r>
    </w:p>
    <w:p>
      <w:pPr>
        <w:spacing w:after="0" w:line="77" w:lineRule="exact"/>
        <w:rPr>
          <w:sz w:val="20"/>
          <w:szCs w:val="20"/>
          <w:color w:val="auto"/>
        </w:rPr>
      </w:pPr>
    </w:p>
    <w:p>
      <w:pPr>
        <w:ind w:right="20" w:firstLine="423"/>
        <w:spacing w:after="0" w:line="252" w:lineRule="auto"/>
        <w:rPr>
          <w:sz w:val="20"/>
          <w:szCs w:val="20"/>
          <w:color w:val="auto"/>
        </w:rPr>
      </w:pPr>
      <w:r>
        <w:rPr>
          <w:rFonts w:ascii="Times New Roman" w:cs="Times New Roman" w:eastAsia="Times New Roman" w:hAnsi="Times New Roman"/>
          <w:sz w:val="18"/>
          <w:szCs w:val="18"/>
          <w:color w:val="auto"/>
        </w:rPr>
        <w:t>A number of these larger agencies, including the largest of Landstar’s independent commission sales agents by revenue, maintain administrative operations in countries outside of North America where the risks may be different than in the United States or Canada due to geopolitical, legal or other risks associated with maintaining administrative operations in such foreign jurisdictions. There can be no assurance regarding the potential disruption and impact adverse geopolitical developments in these foreign jurisdictions could have on the ability of certain large independent commission sales agents to generate and maintain administrative operations in support of significant amounts of Landstar revenue. As disclosed in a Current Report on Form 8-K filed by the Company on February 28, 2022, the largest Landstar independent commission sales agency by revenue referenced above, while based in the United States, has significant administrative operations located in Ukraine. The administrative operations of this agency were significantly disrupted during the onset of the Russian invasion of Ukraine. The Company also has another of its largest independent commission sales agencies, as measured by revenue, that is based in the United States but conducts a portion of its administrative operations in western Ukraine. Russian efforts to destroy infrastructure throughout Ukraine has impacted the availability of electricity and other basic utilities at various times throughout the country. The priority for Landstar and both of these agencies is the safety and well-being of these agencies’ Ukrainian workforces and their families. No assurances can be provided regarding the conflict between Russia and Ukraine and the extent of potential future operational disruption the conflict may have on either of these Landstar agencies and the related impact of these disruptions on the Company.</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97" w:right="459" w:bottom="1440" w:gutter="0" w:footer="0" w:header="0"/>
        </w:sectPr>
      </w:pPr>
    </w:p>
    <w:bookmarkStart w:id="14" w:name="page15"/>
    <w:bookmarkEnd w:id="14"/>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Landstar competes with motor carriers and other third parties for the services of independent commission sales agents. Landstar has historically experienced very limited agent turnover in the number of its Million Dollar Agents. There can be no assurances, however, that Landstar will continue to experience very limited turnover of its Million Dollar Agents in the future. Landstar’s contracts with its agents, including its Million Dollar Agents, are typically terminable without cause upon 10 to 30 days’ notice by either party and generally contain significant but not unqualified restrictive covenants limiting the ability of a former agent to compete with Landstar for a specified period of time post-termination, and other restrictive covenants. The loss of some of the Company’s Million Dollar Agents and/or a significant decrease in revenue generated by Million Dollar Agents could have a material adverse effect on Landstar, including its results of operations and revenue.</w:t>
      </w:r>
    </w:p>
    <w:p>
      <w:pPr>
        <w:spacing w:after="0" w:line="79"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Dependence on third party capacity providers. </w:t>
      </w:r>
      <w:r>
        <w:rPr>
          <w:rFonts w:ascii="Times New Roman" w:cs="Times New Roman" w:eastAsia="Times New Roman" w:hAnsi="Times New Roman"/>
          <w:sz w:val="18"/>
          <w:szCs w:val="18"/>
          <w:color w:val="auto"/>
        </w:rPr>
        <w:t>As noted above in Item 1, “Business — Factors Significant to the Company’s Operations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Party Capacity,” Landstar does not own trucks or other transportation equipment other than trailing equipment and relies on third party capacity providers, including BCO Independent Contractors, Truck Brokerage Carriers, railroads and air and ocean cargo carriers, to transport freight for its customers. The Company competes with motor carriers and other third parties for the services of BCO Independent Contractors and other third party capacity providers. The market for qualified truck owner-operators and other third party truck capacity providers is very competitive among motor carriers, third party logistics companies and others and no assurances can be given that the Company will be able to maintain or expand the number of BCO Independent Contractors or other third party truck capacity providers. Additionally, the Company’s third party capacity providers other than BCO Independent Contractors can be expected, under certain circumstances, to charge higher prices to cover increased operating expenses, such as any increases in the cost of fuel, labor, equipment or insurance, and the Company’s operating income may decline without a corresponding increase in price to the customer. A significant decrease in available capacity provided by either the Company’s BCO Independent Contractors or other third party capacity providers, or increased rates charged by other third party capacity providers that cannot be passed through to customers, could have a material adverse effect on Landstar, including its results of operations and revenue.</w:t>
      </w:r>
    </w:p>
    <w:p>
      <w:pPr>
        <w:spacing w:after="0" w:line="82" w:lineRule="exact"/>
        <w:rPr>
          <w:sz w:val="20"/>
          <w:szCs w:val="20"/>
          <w:color w:val="auto"/>
        </w:rPr>
      </w:pPr>
    </w:p>
    <w:p>
      <w:pPr>
        <w:ind w:right="20" w:firstLine="423"/>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Disruptions or failures in the Company’s computer systems; cyber and other information security incidents. </w:t>
      </w:r>
      <w:r>
        <w:rPr>
          <w:rFonts w:ascii="Times New Roman" w:cs="Times New Roman" w:eastAsia="Times New Roman" w:hAnsi="Times New Roman"/>
          <w:sz w:val="18"/>
          <w:szCs w:val="18"/>
          <w:color w:val="auto"/>
        </w:rPr>
        <w:t>As noted above in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 Factors Significant to the Company’s Operations — Technology,” the Company’s information technology systems used in connection with its operations are located in Jacksonville, Florida and to a lesser extent in Rockford, Illinois. In addition, the Company utilizes several third party data centers throughout the United States. Landstar relies, in the regular course of its business, on the proper operation of its information technology systems to link its extensive network of customers, employees, agents and third party capacity providers, including its BCO Independent Contractors. Moreover, a majority of the Company’s employees work remotely or on a hybrid basis. Although the Company has redundant systems for its critical operations, any significant disruption or failure of its technology systems or those of third party data centers on which it relies could significantly disrupt the Company’s operations and impose significant costs on the Company. Moreover, it is critical that the data processed by or stored in the Company’s information technology systems or otherwise in the Company’s possession remain confidential, as it often includes confidential, proprietary and/or competitively sensitive information regarding our customers, employees, agents and third party capacity providers, key financial and operational results and statistics, and our strategic plans, including technology innovations, developments and enhancements. Cyber incidents that impact the security, availability, reliability, speed, accuracy or other proper functioning of these systems and data, including outages, computer viruses, break-ins and similar disruptions, could have a significant impact on our operations. Accordingly, information security and the continued development and enhancement of the controls and processes designed to protect our systems, computers, software, data and networks from attack, damage or unauthorized access remain a priority for us. Our information systems and those of our third-party service providers have been, and will likely continue to be, targeted by or subject to viruses, malware or other malicious codes, unauthorized access, cyber-attacks, cyber frauds, ransomware or other unauthorized occurrences which jeopardize the confidentiality, integrity or availability of our information or information systems. Cybersecurity threats are rapidly evolving and those threats and the means for obtaining access to our systems are becoming increasingly sophisticated. Cybersecurity threats can originate from a wide variety of sources including terrorists, nation states, financially motivated actors, hacktivists, internal actors, or third parties, such as external service providers or other third parties who may use an external service provider as a conduit to access our systems, and the techniques used change frequently and often are not recognized until after they have been launched. The rapid evolution and increased adoption of artificial intelligence technologies may intensify our cybersecurity risks including the deployment of artificial intelligence technologies by threat actors. Although we believe that we have robust security procedures and other safeguards in place, as threats continue to evolve, we may be required to expend additional resources to continue to enhance our information security measures and/or to investigate and remediate any security vulnerabilities. At any given time, we face known and unknown cybersecurity risks and threats that are not fully mitigated, and we may discover vulnerabilities as we continuously work to enhance our cybersecurity risk management program. A significant incident, including system failure, security breach, disruption by malware or ransomware, or other damage, could interrupt or delay our operations, damage our reputation, cause a loss of customers, agents and/or third party capacity providers, expose us to a risk of loss or litigation, and/or cause us to incur significant time and expense to remedy such an event, any of which could have a material adverse impact on our results of operations and financial condition.</w:t>
      </w: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97" w:right="439" w:bottom="1440" w:gutter="0" w:footer="0" w:header="0"/>
        </w:sectPr>
      </w:pPr>
    </w:p>
    <w:bookmarkStart w:id="15" w:name="page16"/>
    <w:bookmarkEnd w:id="15"/>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Although the Company maintains cybersecurity and business interruption insurance, the Company’s insurance may not be adequate to cover all losses that may be incurred in the event of a significant disruption or failure of its information technology systems. In addition, cybersecurity and business interruption insurance could in the future become more expensive and difficult to maintain and may not be available on commercially reasonable terms or at all.</w:t>
      </w:r>
    </w:p>
    <w:p>
      <w:pPr>
        <w:spacing w:after="0" w:line="70" w:lineRule="exact"/>
        <w:rPr>
          <w:sz w:val="20"/>
          <w:szCs w:val="20"/>
          <w:color w:val="auto"/>
        </w:rPr>
      </w:pPr>
    </w:p>
    <w:p>
      <w:pPr>
        <w:ind w:right="40" w:firstLine="423"/>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Dependence on key vendors. </w:t>
      </w:r>
      <w:r>
        <w:rPr>
          <w:rFonts w:ascii="Times New Roman" w:cs="Times New Roman" w:eastAsia="Times New Roman" w:hAnsi="Times New Roman"/>
          <w:sz w:val="17"/>
          <w:szCs w:val="17"/>
          <w:color w:val="auto"/>
        </w:rPr>
        <w:t>As described above under “</w:t>
      </w:r>
      <w:r>
        <w:rPr>
          <w:rFonts w:ascii="Times New Roman" w:cs="Times New Roman" w:eastAsia="Times New Roman" w:hAnsi="Times New Roman"/>
          <w:sz w:val="17"/>
          <w:szCs w:val="17"/>
          <w:i w:val="1"/>
          <w:iCs w:val="1"/>
          <w:color w:val="auto"/>
        </w:rPr>
        <w:t>Dependence on third party insurance companies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Disruptions or failures in the Company’s computer systems; cyber and other information security incidents,</w:t>
      </w:r>
      <w:r>
        <w:rPr>
          <w:rFonts w:ascii="Times New Roman" w:cs="Times New Roman" w:eastAsia="Times New Roman" w:hAnsi="Times New Roman"/>
          <w:sz w:val="17"/>
          <w:szCs w:val="17"/>
          <w:color w:val="auto"/>
        </w:rPr>
        <w:t>” the Company is dependent on certain vendors, including third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party insurance companies, third party data center providers, third party information technology application providers and third party payment disbursement providers. Any inability to negotiate satisfactory terms with one of these key vendors or any other significant disruption to or termination of a relationship with one of these key vendors could disrupt the Company’s operations and impose significant costs on the Company.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Competitive and Industry Risks</w:t>
      </w:r>
    </w:p>
    <w:p>
      <w:pPr>
        <w:spacing w:after="0" w:line="119" w:lineRule="exact"/>
        <w:rPr>
          <w:sz w:val="20"/>
          <w:szCs w:val="20"/>
          <w:color w:val="auto"/>
        </w:rPr>
      </w:pPr>
    </w:p>
    <w:p>
      <w:pPr>
        <w:ind w:right="240" w:firstLine="42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Decreased demand for transportation services; U.S. trade relationships. </w:t>
      </w:r>
      <w:r>
        <w:rPr>
          <w:rFonts w:ascii="Times New Roman" w:cs="Times New Roman" w:eastAsia="Times New Roman" w:hAnsi="Times New Roman"/>
          <w:sz w:val="18"/>
          <w:szCs w:val="18"/>
          <w:color w:val="auto"/>
        </w:rPr>
        <w:t>The transportation industry historically has experienced cyclical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results as a result of slowdowns in economic activity, the business cycles of customers, and other economic factors beyond Landstar’s control. If a slowdown in economic activity or a downturn in the Company’s customers’ business cycles causes a reduction in the volume of freight shipped by those customers, the Company’s operating results could be materially adversely affected.</w:t>
      </w:r>
    </w:p>
    <w:p>
      <w:pPr>
        <w:spacing w:after="0" w:line="74"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In addition, Landstar hauls a significant number of shipments that have either been imported into the United States or are destined for export from the United States. Any decision by the U.S. government to adopt actions such as a border tax on imports, an increase in customs duties or tariffs, the renegotiation of U.S. trade agreements or any other action that could have a negative impact on international trade could cause a reduction in the volume of freight shipped by many Landstar customers. Any changes in tax and trade policies in the United States and corresponding actions by other countries could adversely affect our financial performance.</w:t>
      </w:r>
    </w:p>
    <w:p>
      <w:pPr>
        <w:spacing w:after="0" w:line="73"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Substantial industry competition. </w:t>
      </w:r>
      <w:r>
        <w:rPr>
          <w:rFonts w:ascii="Times New Roman" w:cs="Times New Roman" w:eastAsia="Times New Roman" w:hAnsi="Times New Roman"/>
          <w:sz w:val="18"/>
          <w:szCs w:val="18"/>
          <w:color w:val="auto"/>
        </w:rPr>
        <w:t>As noted above in Item 1, “Business — Factors Significant to the Company’s Operations — 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Landstar competes primarily in the transportation and logistics services industry. This industry is extremely competitive and fragmented. Landstar competes primarily with truckload carriers, intermodal transportation service providers, railroads, less-than-truckload carriers, third party logistics companies, digital freight brokers and other asset-light transportation and logistics service providers. Management believes that competition for the freight transported by the Company is based on service, efficiency, safety and freight rates, which are influenced significantly by the economic environment, particularly the amount of available transportation capacity and freight demand. In recent years, the use of technology and the implementation of technology-based innovations have become increasingly important to compete within the transportation and logistics industry. In particular, management believes leadership in the development, operation and support of an ecosystem of digital technologies and applications is an ongoing part of providing high quality service. The failure of the Company to maintain or enhance its technology ecosystem in response to changing demands from customers, agents, and capacity providers could have a significant adverse impact on Landstar’s ability to compete for customers, agents and capacity providers in the transportation and logistics industry.</w:t>
      </w:r>
    </w:p>
    <w:p>
      <w:pPr>
        <w:spacing w:after="0" w:line="86"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In addition, competition in our industry, historically, has created downward pressure on freight rates. Many large shippers use 3PLs other than the Company to outsource the management and coordination of their transportation needs rather than directly arrange for transportation services with carriers. As noted above, there were 11 transportation service providers, including 3PLs, included in the Company’s top 25 customers for the fiscal year ended December 30, 2023. Usage by large shippers of 3PLs often provides carriers, such as the Company, with a less direct relationship with the shipper and, as a result, may increase pressure on freight rates while making it more difficult for the Company to compete primarily based on service and efficiency. A prolonged decrease in freight rates could have a material adverse effect on Landstar, including its revenue and operating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Regulatory and Compliance Risks</w:t>
      </w:r>
    </w:p>
    <w:p>
      <w:pPr>
        <w:spacing w:after="0" w:line="119" w:lineRule="exact"/>
        <w:rPr>
          <w:sz w:val="20"/>
          <w:szCs w:val="20"/>
          <w:color w:val="auto"/>
        </w:rPr>
      </w:pPr>
    </w:p>
    <w:p>
      <w:pPr>
        <w:ind w:right="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Status of independent contractors. </w:t>
      </w:r>
      <w:r>
        <w:rPr>
          <w:rFonts w:ascii="Times New Roman" w:cs="Times New Roman" w:eastAsia="Times New Roman" w:hAnsi="Times New Roman"/>
          <w:sz w:val="18"/>
          <w:szCs w:val="18"/>
          <w:color w:val="auto"/>
        </w:rPr>
        <w:t>In recent years, the topic of the classification of individuals as employees or independent contractors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gained increased attention among federal and state regulators as well as the plaintiffs’ bar. Various legislative or regulatory proposals have been introduced at the federal and state levels that may affect the classification status of individuals as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97" w:right="479" w:bottom="1440" w:gutter="0" w:footer="0" w:header="0"/>
        </w:sectPr>
      </w:pPr>
    </w:p>
    <w:bookmarkStart w:id="16" w:name="page17"/>
    <w:bookmarkEnd w:id="1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independent contractors or employees for either employment tax purposes (e.g., withholding, social security, Medicare and unemployment taxes) or other benefits available to employees (most notably, workers’ compensation benefits). Recently, certain states (most prominently, California) have seen significant increased activity by tax and other regulators and numerous class action lawsuits filed against transportation companies that engage independent contractors.</w:t>
      </w:r>
    </w:p>
    <w:p>
      <w:pPr>
        <w:spacing w:after="0" w:line="72"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There are many different tests and standards that may apply to the determination of whether a relationship is that of an independent contractor or one of employment. For example, different standards may be applied by the Internal Revenue Service, the U.S. Department of Labor, the National Labor Relations Board, state unemployment agencies, state departments of labor, state taxing authorities, the Equal Employment Opportunity Commission, state discrimination or disability benefit administrators and state workers compensation boards, among others. For federal tax purposes, most individuals are classified as employees or independent contractors based on a multi-factor “common-law” analysis rather than any definition found in the Internal Revenue Code or Internal Revenue Service regulations. In addition, under Section 530 of the Revenue Act of 1978, a taxpayer that meets certain criteria may treat an individual as an independent contractor for employment tax purposes if the taxpayer has been audited without being told to treat similarly situated workers as employees, if the taxpayer has received a ruling from the Internal Revenue Service or a court decision affirming the taxpayer’s treatment of the individual as an independent contractor, or if the taxpayer is following a long-standing recognized practice.</w:t>
      </w:r>
    </w:p>
    <w:p>
      <w:pPr>
        <w:spacing w:after="0" w:line="86"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The Company classifies its BCO Independent Contractors and independent commission sales agents as independent contractors for all purposes, including employment tax and employee benefits. There can be no assurance that legislative, judicial, administrative or regulatory (including tax) authorities will not introduce proposals or assert interpretations of existing rules and regulations that would change the employee/independent contractor classification of BCO Independent Contractors or independent commission sales agents doing business with the Company. On September 18, 2019, California enacted Assembly Bill (AB) 5 into law, codifying the strict “ABC” test for purposes of determining a worker’s status as an independent contractor or employee under California law. While new in California, versions of the ABC test have existed in a number of other states over the years and have been challenged in various courts as violating the federal government’s exclusive right to regulate trucking in certain areas of law and interstate commerce. The Company continues to monitor and analyze the impact of the new law, which became effective as of January 1, 2020, including what steps may be necessary or advisable to adapt to a changing legal and regulatory environment in California. The Company has BCO Independent Contractors, Truck Brokerage Carriers and independent commission sales agents who reside in and/or principally operate their business in California that could be impacted by AB 5 or similar laws, which could eventually affect our relationship with them. Additionally, the new law may have a significant impact on our Truck Brokerage Carriers based in California who utilize owner-operators to provide various types of transportation services such as drayage, regional or local delivery. Since the Company is neither incorporated nor headquartered in California and the vast majority of BCO Independent Contractors, Truck Brokerage Carriers and independent commission sales agents currently doing business with the Company reside and principally operate outside of California, we do not expect AB 5 to have a material impact on Landstar’s overall network of BCO Independent Contractors, Truck Brokerage Carriers and independent commission sales agents. Nevertheless, there remains significant uncertainty regarding many aspects of the new law, including how the law will be interpreted and enforced by state and local governments as well as by courts.</w:t>
      </w:r>
    </w:p>
    <w:p>
      <w:pPr>
        <w:spacing w:after="0" w:line="84" w:lineRule="exact"/>
        <w:rPr>
          <w:sz w:val="20"/>
          <w:szCs w:val="20"/>
          <w:color w:val="auto"/>
        </w:rPr>
      </w:pPr>
    </w:p>
    <w:p>
      <w:pPr>
        <w:ind w:right="100" w:firstLine="423"/>
        <w:spacing w:after="0" w:line="255" w:lineRule="auto"/>
        <w:rPr>
          <w:sz w:val="20"/>
          <w:szCs w:val="20"/>
          <w:color w:val="auto"/>
        </w:rPr>
      </w:pPr>
      <w:r>
        <w:rPr>
          <w:rFonts w:ascii="Times New Roman" w:cs="Times New Roman" w:eastAsia="Times New Roman" w:hAnsi="Times New Roman"/>
          <w:sz w:val="18"/>
          <w:szCs w:val="18"/>
          <w:color w:val="auto"/>
        </w:rPr>
        <w:t>Potential changes, if any, that could impact the legal classification of the independent contractor relationship between the Company and BCO Independent Contractors or independent commission sales agents could have a material adverse effect on Landstar’s operating model. Further, the costs associated with any such potential changes could have a material adverse effect on the Company’s results of operations and financial condition if Landstar were unable to pass through to its customers an increase in price corresponding to such increased costs. Moreover, class action litigation in this area against other transportation companies has resulted in significant damage awards and/or monetary settlements for workers who have been allegedly misclassified as independent contractors and the legal and other related expenses associated with litigating these cases can be substantial.</w:t>
      </w:r>
    </w:p>
    <w:p>
      <w:pPr>
        <w:spacing w:after="0" w:line="79" w:lineRule="exact"/>
        <w:rPr>
          <w:sz w:val="20"/>
          <w:szCs w:val="20"/>
          <w:color w:val="auto"/>
        </w:rPr>
      </w:pPr>
    </w:p>
    <w:p>
      <w:pPr>
        <w:ind w:right="6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Regulatory and legislative changes. </w:t>
      </w:r>
      <w:r>
        <w:rPr>
          <w:rFonts w:ascii="Times New Roman" w:cs="Times New Roman" w:eastAsia="Times New Roman" w:hAnsi="Times New Roman"/>
          <w:sz w:val="18"/>
          <w:szCs w:val="18"/>
          <w:color w:val="auto"/>
        </w:rPr>
        <w:t>As noted above in Item 1, “Business — Factors Significant to the Company’s Operations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certain of the Operating Subsidiaries are motor carriers and/or property brokers authorized to arrange for transportation services by motor carriers which are regulated by the Federal Motor Carrier Safety Administration (“FMCSA”), an agency of the U.S. Department of Transportation, and by various state agencies. Several of the Operating Subsidiaries maintain a federal hazardous materials safety permit and, as a result, have an increased risk of compliance review by the FMCSA.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Company’s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w:t>
      </w:r>
    </w:p>
    <w:p>
      <w:pPr>
        <w:spacing w:after="0" w:line="24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97" w:right="459" w:bottom="1440" w:gutter="0" w:footer="0" w:header="0"/>
        </w:sectPr>
      </w:pPr>
    </w:p>
    <w:bookmarkStart w:id="17" w:name="page18"/>
    <w:bookmarkEnd w:id="17"/>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w:t>
      </w:r>
    </w:p>
    <w:p>
      <w:pPr>
        <w:spacing w:after="0" w:line="75" w:lineRule="exact"/>
        <w:rPr>
          <w:sz w:val="20"/>
          <w:szCs w:val="20"/>
          <w:color w:val="auto"/>
        </w:rPr>
      </w:pPr>
    </w:p>
    <w:p>
      <w:pPr>
        <w:ind w:right="60" w:firstLine="423"/>
        <w:spacing w:after="0" w:line="252" w:lineRule="auto"/>
        <w:rPr>
          <w:sz w:val="20"/>
          <w:szCs w:val="20"/>
          <w:color w:val="auto"/>
        </w:rPr>
      </w:pPr>
      <w:r>
        <w:rPr>
          <w:rFonts w:ascii="Times New Roman" w:cs="Times New Roman" w:eastAsia="Times New Roman" w:hAnsi="Times New Roman"/>
          <w:sz w:val="18"/>
          <w:szCs w:val="18"/>
          <w:color w:val="auto"/>
        </w:rPr>
        <w:t>In particular, the FMCSA in recent years proposed a number of regulatory changes that affect the operation of commercial motor carriers across the United States. It is difficult to predict in what form FMCSA regulations may be implemented, modified or enforced and what impact any such regulations may have on motor carrier operations or the aggregate number of trucks that provide hauling capacity to the Company. For example, in December 2010, the FMCSA introduced the Compliance Safety Accountability (“CSA”) motor carrier oversight program. Under CSA, the FMCSA monitors seven Behavior Analysis and Safety Improvement Categories, or BASICs, under which a motor carrier may be evaluated against established threshold scores for each such BASIC. In the event a motor carrier has one or more BASIC scores that exceeds the applicable threshold, the motor carrier has an increased risk of roadside inspection and/or compliance review by FMCSA. Under the Fixing America’s Surface Transportation Act, or the “FAST Act” signed into law on December 4, 2015, the FMCSA was required to engage the National Research Council to conduct a study of CSA and the Safety Measurement System (“SMS”) utilized by the CSA program. As a result of the FAST Act, the FMCSA announced the removal of the BASIC scores from public view and that such scores are expected to remain hidden from public view while changes to CSA are considered. In 2018, the FMCSA announced significant anticipated changes to CSA that if enacted would be expected to have a material impact on the current program. As of the end of 2023, no such changes to CSA have yet been enacted. No assurances can be given with respect to the changes that may be made to the CSA program, or any replacement or supplemental program, in the future and what impact new or revised motor carrier oversight programs implemented by the FMCSA could have on the Company, its motor carrier operations or the aggregate number of trucks that provide hauling capacity to the Company.</w:t>
      </w:r>
    </w:p>
    <w:p>
      <w:pPr>
        <w:spacing w:after="0" w:line="86"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Regulations focused on diesel emissions and other air quality matters. </w:t>
      </w:r>
      <w:r>
        <w:rPr>
          <w:rFonts w:ascii="Times New Roman" w:cs="Times New Roman" w:eastAsia="Times New Roman" w:hAnsi="Times New Roman"/>
          <w:sz w:val="18"/>
          <w:szCs w:val="18"/>
          <w:color w:val="auto"/>
        </w:rPr>
        <w:t>Focus on diesel emissions, climate change and related air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has led to efforts by federal, state and local governmental agencies to support legislation and regulations to limit the amount of carbon emissions, including emissions created by diesel engines utilized in tractors such as those operated by the Company’s BCO Independent Contractors and Truck Brokerage Carriers. Moreover, federal, state and local governmental agencies may also focus on regulation in relation to trailing equipment specifications in an effort to achieve, among other things, lower carbon emissions. For example, the California Air Resources Board (“CARB”) has implemented regulations that restrict the ability of certain tractors and trailers from operating in California and that impose emission standards on nearly all diesel-fueled trucks with gross vehicle weight ratings in excess of 14,000 lbs. that operate in California. Moreover, these emission standards have become increasingly stringent over time. As of January 1, 2023, nearly all diesel-fueled trucks with gross vehicle weight ratings in excess of 14,000 lbs. that operate in California are required to have a 2010 or newer model year engine. No assurances can be given with respect to the extent BCO Independent Contractors will choose to become CARB-compliant by purchasing a new or used CARB-compliant tractor, replacing the engine in their existing tractor with a CARB-compliant engine or performing an exhaust retrofit of their existing tractor by installing a particulate matter filter. Accordingly, many of the Company’s BCO Independent Contractors may choose not to haul loads that would require travel within California, which could affect the ability of the Company to service customer freight needs for freight originating from, delivering to or traveling through California. Furthermore, increased regulation of tractor or trailing equipment specifications, including emissions created by diesel engines, could create substantial costs for the Company’s third party capacity providers and, in turn, increase the cost of purchased transportation to the Company. An increase in the costs to purchase, lease or maintain tractor or trailing equipment or in purchased transportation cost caused by existing or new regulations without a corresponding increase in price to the customer could adversely affect Landstar, including its results of operations and financial condition.</w:t>
      </w:r>
    </w:p>
    <w:p>
      <w:pPr>
        <w:spacing w:after="0" w:line="84"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Regulations requiring the purchase and use of zero-emission vehicles (“ZEVs”). </w:t>
      </w:r>
      <w:r>
        <w:rPr>
          <w:rFonts w:ascii="Times New Roman" w:cs="Times New Roman" w:eastAsia="Times New Roman" w:hAnsi="Times New Roman"/>
          <w:sz w:val="18"/>
          <w:szCs w:val="18"/>
          <w:color w:val="auto"/>
        </w:rPr>
        <w:t>Currently, the long-haul trucking industry in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diesel-fuel based and long-haul trucking operations powered by electricity, natural gas, or hydrogen-based powertrains rather than diesel are not commercially feasible at scale in North America. Significant challenges remain with respect to the economic feasibility of these trucks and the further development of this technology is necessary considering power, torque, range, efficiency and other aspects of long-haul trucking operations. Moreover, the extensive nationwide charging/fueling infrastructure and maintenance network that would be necessary to support such operations does not exist. Nevertheless, federal, state and local governmental agencies may engage in efforts to support legislation and regulations mandating the transition of diesel-fuel based commercial motor vehicles, such as Class 8 tractors operated by the Company’s BCO Independent Contractors</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97" w:right="439" w:bottom="1440" w:gutter="0" w:footer="0" w:header="0"/>
        </w:sectPr>
      </w:pPr>
    </w:p>
    <w:bookmarkStart w:id="18" w:name="page19"/>
    <w:bookmarkEnd w:id="18"/>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Truck Brokerage Carriers, to ZEVs. For example, CARB has adopted two new regulations, the Advanced Clean Trucks (“ACT”) regulation and the Advanced Clean Fleets (“ACF”) regulation, that would mandate the transition of commercial trucking operations in California to ZEVs over time.</w:t>
      </w:r>
    </w:p>
    <w:p>
      <w:pPr>
        <w:spacing w:after="0" w:line="68"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CARB’s ACT regulation, as enacted, is intended to accelerate a large-scale transition to medium-and heavy-duty ZEVs. The regulation includes a manufacturer sales requirement and a reporting requirement that applies to large employers including retailers, manufacturers, brokers and others, as well as fleet owners with 50 or more trucks operating in California. The following states have also adopted the ACT regulation: Colorado, Massachusetts, New Jersey, New York, Oregon, Vermont and Washington.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CARB’s ACF regulation is intended to work in conjunction with the ACT regulation to require the deployment of medium- and heavy-duty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ZEVs in California. Components of the ACF regulation, as adopted by CARB, include the following requirements:</w:t>
      </w:r>
    </w:p>
    <w:p>
      <w:pPr>
        <w:spacing w:after="0" w:line="112" w:lineRule="exact"/>
        <w:rPr>
          <w:sz w:val="20"/>
          <w:szCs w:val="20"/>
          <w:color w:val="auto"/>
        </w:rPr>
      </w:pPr>
    </w:p>
    <w:p>
      <w:pPr>
        <w:ind w:left="520" w:right="100" w:hanging="424"/>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sales mandate. Manufacturers would be required to sell only zero-emission medium- and heavy-duty vehicles in California starting in 2036.</w:t>
      </w:r>
    </w:p>
    <w:p>
      <w:pPr>
        <w:spacing w:after="0" w:line="67" w:lineRule="exact"/>
        <w:rPr>
          <w:rFonts w:ascii="Times New Roman" w:cs="Times New Roman" w:eastAsia="Times New Roman" w:hAnsi="Times New Roman"/>
          <w:sz w:val="18"/>
          <w:szCs w:val="18"/>
          <w:color w:val="auto"/>
        </w:rPr>
      </w:pPr>
    </w:p>
    <w:p>
      <w:pPr>
        <w:ind w:left="520" w:right="460" w:hanging="424"/>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Drayage fleets. Beginning January 1, 2024, trucks must be required to be registered in the CARB Online System to conduct drayage activities in California. Any truck that is to conduct drayage activities in California and is added to the California fleet on or after January 1, 2024, is required to be a ZEV.</w:t>
      </w:r>
    </w:p>
    <w:p>
      <w:pPr>
        <w:spacing w:after="0" w:line="81" w:lineRule="exact"/>
        <w:rPr>
          <w:rFonts w:ascii="Times New Roman" w:cs="Times New Roman" w:eastAsia="Times New Roman" w:hAnsi="Times New Roman"/>
          <w:sz w:val="18"/>
          <w:szCs w:val="18"/>
          <w:color w:val="auto"/>
        </w:rPr>
      </w:pPr>
    </w:p>
    <w:p>
      <w:pPr>
        <w:ind w:left="520" w:hanging="424"/>
        <w:spacing w:after="0" w:line="258"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priority fleets. High priority fleets (defined by the regulation to include an entity that owns, operates or directs vehicles in California and has $50 million or more in total gross revenue or a fleet that owns, operates, or directs 50 or more vehicles in its California fleet) are required to either (i) purchase only ZEVs beginning 2024 and, starting January 1, 2025, remove internal combustion engine vehicles at the end of their minimum useful life as specified in the regulation or (ii) use the ZEV Milestones Option to phase-in ZEVs into their fleets to meet ZEV targets as a percentage of their total California fleet according to the following schedule:</w:t>
      </w:r>
    </w:p>
    <w:p>
      <w:pPr>
        <w:spacing w:after="0" w:line="2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Table A: ZEV Fleet Milestones by Milestone Group and Year</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Percentage of vehicles that must be ZEVs</w:t>
            </w:r>
          </w:p>
        </w:tc>
        <w:tc>
          <w:tcPr>
            <w:tcW w:w="352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10%</w:t>
            </w:r>
          </w:p>
        </w:tc>
        <w:tc>
          <w:tcPr>
            <w:tcW w:w="26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25%</w:t>
            </w:r>
          </w:p>
        </w:tc>
        <w:tc>
          <w:tcPr>
            <w:tcW w:w="26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50%</w:t>
            </w:r>
          </w:p>
        </w:tc>
        <w:tc>
          <w:tcPr>
            <w:tcW w:w="26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75%</w:t>
            </w:r>
          </w:p>
        </w:tc>
        <w:tc>
          <w:tcPr>
            <w:tcW w:w="260" w:type="dxa"/>
            <w:vAlign w:val="bottom"/>
          </w:tcPr>
          <w:p>
            <w:pPr>
              <w:spacing w:after="0"/>
              <w:rPr>
                <w:sz w:val="16"/>
                <w:szCs w:val="16"/>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100%</w:t>
            </w:r>
          </w:p>
        </w:tc>
        <w:tc>
          <w:tcPr>
            <w:tcW w:w="40" w:type="dxa"/>
            <w:vAlign w:val="bottom"/>
          </w:tcPr>
          <w:p>
            <w:pPr>
              <w:spacing w:after="0"/>
              <w:rPr>
                <w:sz w:val="16"/>
                <w:szCs w:val="16"/>
                <w:color w:val="auto"/>
              </w:rPr>
            </w:pPr>
          </w:p>
        </w:tc>
      </w:tr>
      <w:tr>
        <w:trPr>
          <w:trHeight w:val="171"/>
        </w:trPr>
        <w:tc>
          <w:tcPr>
            <w:tcW w:w="60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Milestone Group 1: Box trucks, vans, buses with two axles, yard tractors, light-</w:t>
            </w: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4"/>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duty package delivery vehicles</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2031</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2033</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2035 and beyond</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Milestone Group 2: Work trucks, day cab tractors, buses with three axles</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2036</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2039 and beyond</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Group 3: Sleeper cab tractors and specialty vehicles</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2033</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2036</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2039</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2042 and beyond</w:t>
            </w:r>
          </w:p>
        </w:tc>
      </w:tr>
    </w:tbl>
    <w:p>
      <w:pPr>
        <w:spacing w:after="0" w:line="90"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On October 16, 2023, the California Trucking Association (the “CTA”) filed a lawsuit in the Eastern District of California challenging the ACF regulation as, among several alternative theories, preempted by federal law under the Federal Clean Air Act and the Federal Aviation Administration Authorization Act of 1994. The CTA seeks declaratory relief that the ACF regulation is invalid and unenforceable as well as preliminary and permanent injunctive relief barring the implementation and enforcement of the ACF regulation. On December 27, 2023, CARB and the CTA reached an understanding that CARB will not take enforcement action as to the drayage or high priority fleet reporting requirements or registration prohibitions under the ACF regulation until U.S. EPA grants a preemption waiver under the federal Clean Air Act applicable to those regulatory provisions or determines a waiver is not necessary, and CTA agreed not to file a preliminary injunction motion seeking to enjoin enforcement of the challenged provision of the ACF regulation while the waiver request is pending before U.S. EPA. No assurances can be provided regarding whether U.S. EPA may grant a preemption waiver, when such a decision may be made or the CTA’s litigation challenging the ACF regulation, including the timing of any proceedings relating to the litigation.</w:t>
      </w:r>
    </w:p>
    <w:p>
      <w:pPr>
        <w:spacing w:after="0" w:line="1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00"/>
          </w:cols>
          <w:pgMar w:left="880" w:top="297" w:right="519" w:bottom="1440" w:gutter="0" w:footer="0" w:header="0"/>
        </w:sectPr>
      </w:pPr>
    </w:p>
    <w:bookmarkStart w:id="19" w:name="page20"/>
    <w:bookmarkEnd w:id="19"/>
    <w:p>
      <w:pPr>
        <w:ind w:left="440" w:right="6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 the extent that the ACF regulation remains in effect, no assurances can be given with respect to the extent BCO Independent Contractors will choose to become CARB-compliant by purchasing a ZEV. Accordingly, many of the Company’s BCO Independent Contractors may not be permitted to haul loads that would require travel within California, which could negatively affect the ability of the Company to service customer freight needs for freight originating from, delivering to or traveling through California. Furthermore, mandates requiring the transition to ZEVs would create substantial costs for the Company’s third party capacity providers and, in turn, increase the cost of purchased transportation to the Company. An increase in the costs to purchase, lease or maintain tractor equipment or in purchased transportation cost caused by existing or new regulations without a corresponding increase in price to the customer could adversely affect Landstar, including its results of operations and financial condition.</w:t>
      </w:r>
    </w:p>
    <w:p>
      <w:pPr>
        <w:spacing w:after="0" w:line="84" w:lineRule="exact"/>
        <w:rPr>
          <w:sz w:val="20"/>
          <w:szCs w:val="20"/>
          <w:color w:val="auto"/>
        </w:rPr>
      </w:pPr>
    </w:p>
    <w:p>
      <w:pPr>
        <w:ind w:left="440" w:firstLine="423"/>
        <w:spacing w:after="0" w:line="269" w:lineRule="auto"/>
        <w:rPr>
          <w:sz w:val="20"/>
          <w:szCs w:val="20"/>
          <w:color w:val="auto"/>
        </w:rPr>
      </w:pPr>
      <w:r>
        <w:rPr>
          <w:rFonts w:ascii="Times New Roman" w:cs="Times New Roman" w:eastAsia="Times New Roman" w:hAnsi="Times New Roman"/>
          <w:sz w:val="17"/>
          <w:szCs w:val="17"/>
          <w:color w:val="auto"/>
        </w:rPr>
        <w:t xml:space="preserve">Moreover, irrespective of the enactment of these regulations, no assurances can be provided that the technology advancements that will need to occur to make ZEVs commercially viable for long-haul trucking or the extensive nationwide charging/fueling infrastructure and maintenance network that would be necessary to support such operations will develop in the time frame that would be necessary to enable efforts to comply with legislative or regulatory mandates requiring the transition of diesel fuel-based vehicles to ZEVs. It is not expected that long-haul trucking operations powered by electricity, natural gas, or hydrogen-based powertrains rather than diesel will become commercially viable at scale throughout North America in the next five years. However, as various technology alternatives continue to develop and mature and investment in infrastructure continues, local or regional service in certain geographic areas utilizing Class 8 tractors powered by electricity, natural gas, or hydrogen-based powertrains may become commercially viable in such time frame. Landstar intends to continue to actively monitor developments in the trucking industry related to the design, manufacture, operation, and support of heavy-duty trucks powered by electricity, natural gas, or hydrogen-based powertrains in order to consider the implementation of initiatives involving those technologies, as those technologies and the related infrastructure needed to support them may mature in the future. An increase in costs to implement these initiatives without a corresponding increase in price to the customer could adversely affect Landstar, including its results of operations and financial condition.   </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9" w:lineRule="exact"/>
        <w:rPr>
          <w:sz w:val="20"/>
          <w:szCs w:val="20"/>
          <w:color w:val="auto"/>
        </w:rPr>
      </w:pPr>
    </w:p>
    <w:p>
      <w:pPr>
        <w:ind w:left="440" w:right="2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Potential changes in taxes. </w:t>
      </w:r>
      <w:r>
        <w:rPr>
          <w:rFonts w:ascii="Times New Roman" w:cs="Times New Roman" w:eastAsia="Times New Roman" w:hAnsi="Times New Roman"/>
          <w:sz w:val="18"/>
          <w:szCs w:val="18"/>
          <w:color w:val="auto"/>
        </w:rPr>
        <w:t>From time to time, various legislative proposals are introduced to increase federal, state, or local taxes.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cannot predict whether, or in what form, any increase in corporate income tax rates, motor fuel tax rates or other tax rates applicable to the transportation services provided by the Company will be enacted and, if enacted, how such increased tax rates may impact the Company. As an example, for every 100 basis point increase in the U.S. corporate income tax rate the Company would recognize a one-time tax charge of approximately $1,100,000 in connection with revaluing its ending net deferred tax liabilities at December 30, 2023. With respect to potential increases in fuel and similar taxes, it is unclear whether or not the Company’s Truck Brokerage Carriers would attempt to pass the increase on to the Company or if the Company will be able to reflect this potential increased cost of capacity, if any, in prices to customers. Any such increase in fuel taxes, without a corresponding increase in price to the customer, could have a material adverse effect on Landstar, including its results of operations and financial condition. Moreover, competition from other transportation service companies including those that provide non-trucking modes of transportation would likely increase if state or federal taxes on fuel were to increase without a corresponding increase in taxes imposed upon other modes of transportation.</w:t>
      </w:r>
    </w:p>
    <w:p>
      <w:pPr>
        <w:spacing w:after="0" w:line="86" w:lineRule="exact"/>
        <w:rPr>
          <w:sz w:val="20"/>
          <w:szCs w:val="20"/>
          <w:color w:val="auto"/>
        </w:rPr>
      </w:pPr>
    </w:p>
    <w:p>
      <w:pPr>
        <w:ind w:left="440" w:right="260" w:firstLine="423"/>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one percent excise tax on stock repurchases made by publicly traded U.S. corporations. This provision was effective for tax years beginning after December 31, 2022. Accrued excise tax of $348,000 was included in other current liabilities in the consolidated balance sheet at December 30, 2023. The excise tax could have an adverse effect on the Company’s cash flows in future years.</w:t>
      </w:r>
    </w:p>
    <w:p>
      <w:pPr>
        <w:spacing w:after="0" w:line="70"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The Company uses both internally developed and purchased technology in conducting its business. Whether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or purchased, it is possible that the use of these technologies could be claimed to infringe upon or violate the intellectual property rights of third parties. In the event that a claim is made against the Company by a third party for the infringement of intellectual property rights, any settlement or adverse judgment against the Company either in the form of increased costs of licensing or a cease and desist order in using the technology could have an adverse effect on the Company’s business and its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97"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Item 1C. </w:t>
      </w:r>
      <w:r>
        <w:rPr>
          <w:rFonts w:ascii="Times New Roman" w:cs="Times New Roman" w:eastAsia="Times New Roman" w:hAnsi="Times New Roman"/>
          <w:sz w:val="18"/>
          <w:szCs w:val="18"/>
          <w:b w:val="1"/>
          <w:bCs w:val="1"/>
          <w:i w:val="1"/>
          <w:iCs w:val="1"/>
          <w:color w:val="auto"/>
        </w:rPr>
        <w:t>Cybersecurity</w:t>
      </w:r>
    </w:p>
    <w:p>
      <w:pPr>
        <w:spacing w:after="0" w:line="121" w:lineRule="exact"/>
        <w:rPr>
          <w:sz w:val="20"/>
          <w:szCs w:val="20"/>
          <w:color w:val="auto"/>
        </w:rPr>
      </w:pPr>
    </w:p>
    <w:p>
      <w:pPr>
        <w:ind w:left="440" w:right="20" w:firstLine="423"/>
        <w:spacing w:after="0" w:line="255" w:lineRule="auto"/>
        <w:rPr>
          <w:sz w:val="20"/>
          <w:szCs w:val="20"/>
          <w:color w:val="auto"/>
        </w:rPr>
      </w:pPr>
      <w:r>
        <w:rPr>
          <w:rFonts w:ascii="Times New Roman" w:cs="Times New Roman" w:eastAsia="Times New Roman" w:hAnsi="Times New Roman"/>
          <w:sz w:val="18"/>
          <w:szCs w:val="18"/>
          <w:color w:val="auto"/>
        </w:rPr>
        <w:t>The Company recognizes the importance of assessing, identifying, and managing risks associated with cybersecurity threats. These risks include, among other things, operational risks; intellectual property theft; fraud; extortion; harm to employees, customers or the independent commission sales agents and third party capacity providers in our network; violation of privacy or security laws and other litigation and legal risk; and reputational risks. The Company has implemented cybersecurity processes, technologies, and controls to aid in its efforts to assess, identify, and manage such risks, including network and endpoint monitoring by a third party managed security services provider and Landstar IT professionals, access controls, vulnerability assessments, penetration testing, regular information security training for employees, and tabletop exercises to inform our IT professionals’ risk identification and assessment.</w:t>
      </w:r>
    </w:p>
    <w:p>
      <w:pPr>
        <w:spacing w:after="0" w:line="81"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Landstar maintains an Incident Response Plan that guides the actions the Company is to take in the event of a suspected or confirmed cybersecurity incident. The plan includes processes to triage, investigate, contain, and remediate the incident, and is designed to enable us to comply with applicable legal and regulatory obligations and mitigate financial and reputational damage. We also maintain a Business Continuity Plan, which provides procedures for maintaining the continuity of critical business processes in the event of business interruption, including any that involve cybersecurity incidents that may significantly impact our operations. Our cybersecurity risk management processes incorporate appropriate industry standards and are designed using the frameworks developed by National Institute of Standards and Technology (“NIST”) as a guide.</w:t>
      </w:r>
    </w:p>
    <w:p>
      <w:pPr>
        <w:spacing w:after="0" w:line="81" w:lineRule="exact"/>
        <w:rPr>
          <w:sz w:val="20"/>
          <w:szCs w:val="20"/>
          <w:color w:val="auto"/>
        </w:rPr>
      </w:pPr>
    </w:p>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t>Our enterprise risk management program reports at least quarterly to the Management Risk Committee and considers cybersecurity threat risks alongside other types of risks as part of our overall risk assessment process. The Management Risk Committee consists of those members of executive management of the Company with ultimate responsibility for the Company’s enterprise risk management practices. Members of the Management Risk Committee regularly engage in discussions and meetings relating to cybersecurity risk management and strategy processes and the prevention, detection, mitigation and remediation of cybersecurity incidents. Members of our IT department collaborate with the Management Risk Committee, as necessary, to gather insights for identifying and assessing cybersecurity threats, their severity, and potential mitigations. Our cybersecurity risk management and strategy processes are led by the Chief Information Officer, who is a member of the Management Risk Committee, and the Vice President of Network Services.</w:t>
      </w:r>
    </w:p>
    <w:p>
      <w:pPr>
        <w:spacing w:after="0" w:line="84"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In particular, the Vice President of Network Services leads a team of IT professionals that includes individuals with significant cybersecurity expertise. The Vice President of Network Services has over 26 years of experience in various roles with the Company as well as with the U.S. Army involving managing information security, developing cybersecurity strategy, implementing effective information and cybersecurity programs. The team of IT professionals led by the Vice President of Network Services includes individuals with relevant degrees and certifications, including Certified Information Security Systems Professional (CISSP), Certified Cyber Security Architect (CCSA), EC-Council Certified Ethical Hacker (CEH), GIAC Certified Forensic Examiner (GCFE), SANS Digital Forensics And Incident Response (FOR408), CompTIA Certified PenTest+, Cisco Certified Network Associate (CCNA), and CompTIA Certified Security+.</w:t>
      </w:r>
    </w:p>
    <w:p>
      <w:pPr>
        <w:spacing w:after="0" w:line="81" w:lineRule="exact"/>
        <w:rPr>
          <w:sz w:val="20"/>
          <w:szCs w:val="20"/>
          <w:color w:val="auto"/>
        </w:rPr>
      </w:pPr>
    </w:p>
    <w:p>
      <w:pPr>
        <w:ind w:left="440" w:right="40" w:firstLine="423"/>
        <w:spacing w:after="0" w:line="261" w:lineRule="auto"/>
        <w:rPr>
          <w:sz w:val="20"/>
          <w:szCs w:val="20"/>
          <w:color w:val="auto"/>
        </w:rPr>
      </w:pPr>
      <w:r>
        <w:rPr>
          <w:rFonts w:ascii="Times New Roman" w:cs="Times New Roman" w:eastAsia="Times New Roman" w:hAnsi="Times New Roman"/>
          <w:sz w:val="18"/>
          <w:szCs w:val="18"/>
          <w:color w:val="auto"/>
        </w:rPr>
        <w:t>The Company also regularly engages with consultants, auditors, and other third parties, including by having an independent third-party Qualified Security Assessor review our cybersecurity program twice each year to help identify areas for continued focus and enhancement. These third parties analyze data on the interactions of users of our information technology resources, including employees, and conduct penetration tests and scanning exercises to assess the performance of our cybersecurity controls, systems and processes.</w:t>
      </w:r>
    </w:p>
    <w:p>
      <w:pPr>
        <w:spacing w:after="0" w:line="72" w:lineRule="exact"/>
        <w:rPr>
          <w:sz w:val="20"/>
          <w:szCs w:val="20"/>
          <w:color w:val="auto"/>
        </w:rPr>
      </w:pPr>
    </w:p>
    <w:p>
      <w:pPr>
        <w:ind w:left="440" w:right="100" w:firstLine="423"/>
        <w:spacing w:after="0" w:line="273" w:lineRule="auto"/>
        <w:rPr>
          <w:sz w:val="20"/>
          <w:szCs w:val="20"/>
          <w:color w:val="auto"/>
        </w:rPr>
      </w:pPr>
      <w:r>
        <w:rPr>
          <w:rFonts w:ascii="Times New Roman" w:cs="Times New Roman" w:eastAsia="Times New Roman" w:hAnsi="Times New Roman"/>
          <w:sz w:val="17"/>
          <w:szCs w:val="17"/>
          <w:color w:val="auto"/>
        </w:rPr>
        <w:t>Our cybersecurity risk management processes also address risks associated with our use of third-party service providers, including those who have access to our employee data or our systems that support customers and our network of independent commission sales agents and third party capacity providers. Third-party risks are included within our enterprise risk management assessment program, as well as our cybersecurity-specific risk identification program. Cybersecurity considerations affect the selection and oversight of our third-party service providers. We perform diligence on third-parties that have access to our systems, data or facilities that house such systems or data, and continually monitor cybersecurity threats identified through such diligence. Additionally, we may require certain third parties to agree by contract to manage their cybersecurity risks in specified ways, and to agree to be subject to cybersecurity audits, which we conduct as appropriate.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93" w:right="479" w:bottom="1440" w:gutter="0" w:footer="0" w:header="0"/>
        </w:sectPr>
      </w:pPr>
    </w:p>
    <w:bookmarkStart w:id="21" w:name="page22"/>
    <w:bookmarkEnd w:id="21"/>
    <w:p>
      <w:pPr>
        <w:ind w:left="440" w:right="10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During the period covered by this Annual Report, the Company has not experienced any cybersecurity incidents that have materially affected or are reasonably likely to materially affect our business strategy, results of operations, or financial condition. However, institutions like us, as well as our employees, service providers and other third parties, have experienced a significant increase in information security and cybersecurity risk in recent years and will likely continue to be the target of increasingly sophisticated cyber attacks. The Company describes whether and how risks from identified cybersecurity threats materially affected or are reasonably likely to materially affect us, including our business strategy, results of operations, or financial condition, under the heading “Disruptions or failures in the Company’s computer systems; cyber and other information security incidents” included as part of our risk factor disclosure at Item 1A of this Annual Report on Form 10-K, which disclosures are incorporated by reference herein.</w:t>
      </w:r>
    </w:p>
    <w:p>
      <w:pPr>
        <w:spacing w:after="0" w:line="84"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and management. The Safety and Risk Committee of the Board is responsible for the oversight of risks from cybersecurity threats. At least semi-annually, the Management Risk Committee and, subsequently, the Safety and Risk Committee of the Board receives an overview of our cybersecurity threat risk management and strategy processes from the Chief Information Officer and the Vice President of Network Services. These sessions typically cover topics such as data security posture, results from third-party assessments, progress towards risk-mitigation-related goals, our incident response plan, cybersecurity vendors and products, and material risks from cybersecurity threats, incidents and developments, as well as the steps management has taken to respond to such risks. Material cybersecurity threat risks are also considered during separate Board and Board committee meeting discussions relating to matters such as enterprise risk management, internal controls over financial reporting and business continuity planning.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The Company owns or leases various properties in the U.S., Canada and Mexico for the Company’s operations and administrative staff that support its independent commission sales agents, BCO Independent Contractors and other third party capacity providers. The transportation logistics segment’s primary facilities are located in Jacksonville, Florida and Rockford, Illinois. In addition, the Company’s corporate headquarters are located in Jacksonville, Florida. The Company also maintains a key freight staging and transload facility in Laredo, Texas. The Jacksonville, Florida, Rockford, Illinois and Laredo, Texas facilities are owned by the Company. The Company also maintains a network of owned and leased field operations centers in the United States and Canada in support of the ongoing recruitment and retention of its BCO Independent Contractors. Management believes that Landstar’s owned and leased properties are adequate for its current needs and that leased properties can be retained or replaced at an acceptable cost.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7, “</w:t>
      </w:r>
      <w:r>
        <w:rPr>
          <w:rFonts w:ascii="Times New Roman" w:cs="Times New Roman" w:eastAsia="Times New Roman" w:hAnsi="Times New Roman"/>
          <w:sz w:val="18"/>
          <w:szCs w:val="18"/>
          <w:i w:val="1"/>
          <w:iCs w:val="1"/>
          <w:color w:val="auto"/>
        </w:rPr>
        <w:t>Management’s Discussion and Analysis of Financial Condition and Results of Operations — Legal Proceedings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97" w:right="51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Common Stock of the Company is listed and traded on the NASDAQ Global Select Market under the symbol “LSTR.”</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reported last sale price per share of the Common Stock as reported on the NASDAQ Global Select Market on January 26, 2024 was $197.11 per share. As of such date, Landstar had 35,716,673 shares of Common Stock outstanding and had 133 stockholders of record of its Common Stock. However, the Company estimates that it has a significantly greater number of stockholders because a substantial number of the Company’s shares are held by brokers or dealers for their customers in street name.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Purchases of Equity Securities by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 of its Common Stock during the period from October 1, 2023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2023, the Company’s fourth fiscal quarter:</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Total Number of Share</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Maximum 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Total Number of</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Average Price</w:t>
            </w:r>
          </w:p>
        </w:tc>
        <w:tc>
          <w:tcPr>
            <w:tcW w:w="18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Shares Purchased as</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Shares That May Yet</w:t>
            </w: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5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Part of Publicly</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Be Purchased Under</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1560" w:type="dxa"/>
            <w:vAlign w:val="bottom"/>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color w:val="auto"/>
                <w:w w:val="99"/>
              </w:rPr>
              <w:t>Shares Purchased</w:t>
            </w:r>
          </w:p>
        </w:tc>
        <w:tc>
          <w:tcPr>
            <w:tcW w:w="140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Paid Per Share</w:t>
            </w:r>
          </w:p>
        </w:tc>
        <w:tc>
          <w:tcPr>
            <w:tcW w:w="188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4"/>
                <w:szCs w:val="14"/>
                <w:color w:val="auto"/>
              </w:rPr>
              <w:t>Announced Programs</w:t>
            </w:r>
          </w:p>
        </w:tc>
        <w:tc>
          <w:tcPr>
            <w:tcW w:w="132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the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September 30, 2023</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2,910,339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 1, 2023 – Oct. 28, 2023</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29, 2023 – Nov. 25, 2023</w:t>
            </w:r>
          </w:p>
        </w:tc>
        <w:tc>
          <w:tcPr>
            <w:tcW w:w="15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229,671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169.08</w:t>
            </w:r>
          </w:p>
        </w:tc>
        <w:tc>
          <w:tcPr>
            <w:tcW w:w="1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229,671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2,680,668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 26, 2023 – Dec. 30,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229,671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169.08</w:t>
            </w:r>
          </w:p>
        </w:tc>
        <w:tc>
          <w:tcPr>
            <w:tcW w:w="1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229,671</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December 7, 2021, the Landstar System, Inc. Board of Directors authorized the Company to purchase up to 1,912,824 shares of the Company’s Common Stock from time to time in the open market and in privately negotiated transactions. 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December 30, 2023, the Company had authorization to purchase in the aggregate up to 3,000,000 shares of its Common Stock under these programs. No specific expiration date has been assigned to the December 7, 2021, December 6, 2022 or December 4, 2023 authorizations.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 Plan Information</w:t>
      </w:r>
    </w:p>
    <w:p>
      <w:pPr>
        <w:spacing w:after="0" w:line="11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maintains a stock compensation plan for members of its Board of Directors, the 2022 Directors Stock Compensation Plan (the “2022 DSCP”), and an employee equity incentive plan, the 2011 Equity Incentive Plan (the “2011 EIP”). The following table presents information related to securities authorized for issuance under these plans at December 30, 2023:</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80" w:type="dxa"/>
            <w:vAlign w:val="bottom"/>
            <w:gridSpan w:val="3"/>
          </w:tcPr>
          <w:p>
            <w:pPr>
              <w:jc w:val="center"/>
              <w:ind w:left="576"/>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7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720" w:type="dxa"/>
            <w:vAlign w:val="bottom"/>
          </w:tcPr>
          <w:p>
            <w:pPr>
              <w:spacing w:after="0"/>
              <w:rPr>
                <w:sz w:val="12"/>
                <w:szCs w:val="12"/>
                <w:color w:val="auto"/>
              </w:rPr>
            </w:pPr>
          </w:p>
        </w:tc>
        <w:tc>
          <w:tcPr>
            <w:tcW w:w="12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72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720" w:type="dxa"/>
            <w:vAlign w:val="bottom"/>
          </w:tcPr>
          <w:p>
            <w:pPr>
              <w:spacing w:after="0"/>
              <w:rPr>
                <w:sz w:val="15"/>
                <w:szCs w:val="15"/>
                <w:color w:val="auto"/>
              </w:rPr>
            </w:pPr>
          </w:p>
        </w:tc>
        <w:tc>
          <w:tcPr>
            <w:tcW w:w="15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71"/>
        </w:trPr>
        <w:tc>
          <w:tcPr>
            <w:tcW w:w="33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3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3,201,405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Under the 2011 EIP, the issuance of (i) a non-vested share of Landstar Common Stock issued in the form of restricted stock and (ii) a share of Landstar Common Stock issued upon the vesting of a previously granted restricted stock unit each counts as the issuance of two securities against the number of securities available for future issuance. Included in the number of securities remaining available for future issuance under equity compensation plans were 187,260 shares of Common Stock reserved for issuance under the 2022 DSCP.</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93" w:right="51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Financial Model Shareholder Returns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return that would have been realized, assuming reinvestment of dividends, by an investor who invested $100 in each of the Company’s Common Stock, the Standard and Poor’s 500 Stock Index and the Dow Jones Transportation Stock Index for the period commencing December 29, 2018 through December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97"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Item 6. </w:t>
      </w:r>
      <w:r>
        <w:rPr>
          <w:rFonts w:ascii="Times New Roman" w:cs="Times New Roman" w:eastAsia="Times New Roman" w:hAnsi="Times New Roman"/>
          <w:sz w:val="18"/>
          <w:szCs w:val="18"/>
          <w:b w:val="1"/>
          <w:bCs w:val="1"/>
          <w:i w:val="1"/>
          <w:iCs w:val="1"/>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10-K contain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the impact of the Russian conflict with Ukraine on the operations of certain independent commission sales agents, including the Company’s largest such agent by revenue in the 2023 fiscal year; an increase in the frequency or severity of accidents or other claims; unfavorable development of existing accident claims; dependence on third party insurance companies; dependence on independent commission sales agents; dependence on third party capacity providers; decreased demand for transportation services; U.S. trade relationships;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and other operational, financial or legal risks or uncertainties detailed in this and Landstar’s other SEC filings from time to time and described in Item 1A in this Form 10-K under the heading “Risk Factors.”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Landstar System, Inc. and its subsidiary, Landstar System Holdings, Inc. (collectively referred to herein with their subsidiaries and other affiliated companies as “Landstar” or the “Company”), is a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over 1,000 independent commission sales agents and over 85,000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9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$5.3 billion during the most recently completed fiscal year. The Company reports the results of two operating segments: the transportation logistics segment and the insurance segment.</w:t>
      </w:r>
    </w:p>
    <w:p>
      <w:pPr>
        <w:spacing w:after="0" w:line="19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3" w:right="459" w:bottom="1440" w:gutter="0" w:footer="0" w:header="0"/>
        </w:sectPr>
      </w:pPr>
    </w:p>
    <w:bookmarkStart w:id="25" w:name="page26"/>
    <w:bookmarkEnd w:id="2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fiscal year 2023, revenue generated by BCO Independent Contractors, Truck Brokerage Carriers and railroads represented approximately 38%, 53% and 2%, respectively, of the Company’s consolidated revenue. Collectively, revenue generated by air and ocean cargo carriers represented approximately 5% of the Company’s consolidated revenue during fiscal year 2023.</w:t>
      </w:r>
    </w:p>
    <w:p>
      <w:pPr>
        <w:spacing w:after="0" w:line="18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fiscal year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and Results of Operations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Management believes the Company’s success principally depends on its ability to generate freight through its network of independent commission sales agents and to deliver freight safely and efficiently utilizing third party capacity providers. Management believes the most significant factors to the Company’s success include increasing revenue, sourcing capacity, empowering its network through technology-based tools and controlling costs, including insurance and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digital technologies they may use to grow revenue and increase efficiencies at their businesses. The following table shows the number of Million Dollar Agents, the average revenue generated by these agents and the percent of consolidated revenue generated by these agents during the past three fiscal years:</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060" w:type="dxa"/>
            <w:vAlign w:val="bottom"/>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06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Million Dollar Agents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revenue generated per Million Dollar Agent</w:t>
            </w: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9,645,000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11,499,000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10,371,000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consolidated revenue generated by Million Dollar Agents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fiscal year 2023, the change in the number of Million Dollar Agents was attributable to agents who remained with the Company yet experienced lower year-over-year revenue that resulted in such agents moving below the Million Dollar Agent category due to the softer freight demand environment. Included among the Company’s Million Dollar Agents in the 2023 fiscal year, the Company had 87 independent sales agencies that generated at least $10 million in Landstar revenue. In fiscal year 2022, the change in the number of Million Dollar Agents was attributable to new agents and existing agents who were not formerly Million Dollar Agents. Included among the Company’s Million Dollar Agents in the 2022 fiscal year, the Company had 133 independent sales agencies that generated at least $10 million in Landstar revenue.</w:t>
      </w:r>
    </w:p>
    <w:p>
      <w:pPr>
        <w:spacing w:after="0" w:line="18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change in the number of Million Dollar Agents on a year-over-year basis is influenced by many factors and is not solely the result of terminations of contractual relationships between agents and the Company, whether such terminations are initiated by the agent or the Company. Such other factors include consolidations among agencies or transactions in connection with ownership changes often due to retirement planning, estate planning or similar transitional matters. The change in the number of Million Dollar Agents on a year-over-year basis may also be affected by agents that remain with the Company yet experienced lower year-over-year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97" w:right="45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revenue that resulted in such agent moving below the Million Dollar Agent category.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 Revenue from accounts formerly handled by terminated Million Dollar Agents is often retained by the Company as the customer may choose to transfer its account to an existing Landstar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97" w:right="479" w:bottom="1440" w:gutter="0" w:footer="0" w:header="0"/>
        </w:sectPr>
      </w:pPr>
    </w:p>
    <w:bookmarkStart w:id="27" w:name="page28"/>
    <w:bookmarkEnd w:id="27"/>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 for the past three fiscal years:</w:t>
      </w:r>
    </w:p>
    <w:p>
      <w:pPr>
        <w:spacing w:after="0" w:line="204"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1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176"/>
        </w:trPr>
        <w:tc>
          <w:tcPr>
            <w:tcW w:w="310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Revenue generated through (in thousands):</w:t>
            </w:r>
          </w:p>
        </w:tc>
        <w:tc>
          <w:tcPr>
            <w:tcW w:w="2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16"/>
        </w:trPr>
        <w:tc>
          <w:tcPr>
            <w:tcW w:w="55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2,742,281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3,892,085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3,525,830</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1,490,393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1,760,357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1,549,037</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117,505</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835,959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770,846</w:t>
            </w:r>
          </w:p>
        </w:tc>
        <w:tc>
          <w:tcPr>
            <w:tcW w:w="200" w:type="dxa"/>
            <w:vAlign w:val="bottom"/>
            <w:shd w:val="clear" w:color="auto" w:fill="CCEEFF"/>
          </w:tcPr>
          <w:p>
            <w:pPr>
              <w:spacing w:after="0"/>
              <w:rPr>
                <w:sz w:val="18"/>
                <w:szCs w:val="18"/>
                <w:color w:val="auto"/>
              </w:rPr>
            </w:pPr>
          </w:p>
        </w:tc>
      </w:tr>
      <w:tr>
        <w:trPr>
          <w:trHeight w:val="223"/>
        </w:trPr>
        <w:tc>
          <w:tcPr>
            <w:tcW w:w="552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4,829,530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6,630,839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5,963,218</w:t>
            </w:r>
          </w:p>
        </w:tc>
        <w:tc>
          <w:tcPr>
            <w:tcW w:w="200" w:type="dxa"/>
            <w:vAlign w:val="bottom"/>
          </w:tcPr>
          <w:p>
            <w:pPr>
              <w:spacing w:after="0"/>
              <w:rPr>
                <w:sz w:val="19"/>
                <w:szCs w:val="19"/>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159,974</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327,160</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87,216</w:t>
            </w:r>
          </w:p>
        </w:tc>
        <w:tc>
          <w:tcPr>
            <w:tcW w:w="200" w:type="dxa"/>
            <w:vAlign w:val="bottom"/>
            <w:shd w:val="clear" w:color="auto" w:fill="CCEEFF"/>
          </w:tcPr>
          <w:p>
            <w:pPr>
              <w:spacing w:after="0"/>
              <w:rPr>
                <w:sz w:val="18"/>
                <w:szCs w:val="18"/>
                <w:color w:val="auto"/>
              </w:rPr>
            </w:pPr>
          </w:p>
        </w:tc>
      </w:tr>
      <w:tr>
        <w:trPr>
          <w:trHeight w:val="223"/>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5,303,322</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7,436,562</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6,537,568</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98"/>
        </w:trPr>
        <w:tc>
          <w:tcPr>
            <w:tcW w:w="552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Revenue on loads hauled via BCO Independent Contractors included</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52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 total truck transportation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1,998,408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2,636,036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2,612,188</w:t>
            </w:r>
          </w:p>
        </w:tc>
        <w:tc>
          <w:tcPr>
            <w:tcW w:w="200" w:type="dxa"/>
            <w:vAlign w:val="bottom"/>
            <w:shd w:val="clear" w:color="auto" w:fill="CCEEFF"/>
          </w:tcPr>
          <w:p>
            <w:pPr>
              <w:spacing w:after="0"/>
              <w:rPr>
                <w:sz w:val="20"/>
                <w:szCs w:val="20"/>
                <w:color w:val="auto"/>
              </w:rPr>
            </w:pPr>
          </w:p>
        </w:tc>
      </w:tr>
      <w:tr>
        <w:trPr>
          <w:trHeight w:val="283"/>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loads: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
        </w:trPr>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1,259,578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1,496,247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1,422,734</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521,891</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183,975</w:t>
            </w:r>
          </w:p>
        </w:tc>
        <w:tc>
          <w:tcPr>
            <w:tcW w:w="200" w:type="dxa"/>
            <w:vAlign w:val="bottom"/>
            <w:shd w:val="clear" w:color="auto" w:fill="CCEEFF"/>
          </w:tcPr>
          <w:p>
            <w:pPr>
              <w:spacing w:after="0"/>
              <w:rPr>
                <w:sz w:val="18"/>
                <w:szCs w:val="18"/>
                <w:color w:val="auto"/>
              </w:rPr>
            </w:pPr>
          </w:p>
        </w:tc>
      </w:tr>
      <w:tr>
        <w:trPr>
          <w:trHeight w:val="223"/>
        </w:trPr>
        <w:tc>
          <w:tcPr>
            <w:tcW w:w="5520" w:type="dxa"/>
            <w:vAlign w:val="bottom"/>
            <w:gridSpan w:val="4"/>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201,407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320,790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300,710</w:t>
            </w:r>
          </w:p>
        </w:tc>
        <w:tc>
          <w:tcPr>
            <w:tcW w:w="200" w:type="dxa"/>
            <w:vAlign w:val="bottom"/>
          </w:tcPr>
          <w:p>
            <w:pPr>
              <w:spacing w:after="0"/>
              <w:rPr>
                <w:sz w:val="19"/>
                <w:szCs w:val="19"/>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2,141,400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2,566,800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2,429,310</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52,310</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41,450</w:t>
            </w:r>
          </w:p>
        </w:tc>
        <w:tc>
          <w:tcPr>
            <w:tcW w:w="200" w:type="dxa"/>
            <w:vAlign w:val="bottom"/>
            <w:shd w:val="clear" w:color="auto" w:fill="CCEEFF"/>
          </w:tcPr>
          <w:p>
            <w:pPr>
              <w:spacing w:after="0"/>
              <w:rPr>
                <w:sz w:val="18"/>
                <w:szCs w:val="18"/>
                <w:color w:val="auto"/>
              </w:rPr>
            </w:pPr>
          </w:p>
        </w:tc>
      </w:tr>
      <w:tr>
        <w:trPr>
          <w:trHeight w:val="223"/>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2,203,840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2,649,360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2,523,070</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98"/>
        </w:trPr>
        <w:tc>
          <w:tcPr>
            <w:tcW w:w="552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Loads hauled via BCO Independent Contractors included in total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52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truck transportation</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898,610</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1,027,480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1,039,630</w:t>
            </w:r>
          </w:p>
        </w:tc>
        <w:tc>
          <w:tcPr>
            <w:tcW w:w="200" w:type="dxa"/>
            <w:vAlign w:val="bottom"/>
            <w:shd w:val="clear" w:color="auto" w:fill="CCEEFF"/>
          </w:tcPr>
          <w:p>
            <w:pPr>
              <w:spacing w:after="0"/>
              <w:rPr>
                <w:sz w:val="20"/>
                <w:szCs w:val="20"/>
                <w:color w:val="auto"/>
              </w:rPr>
            </w:pPr>
          </w:p>
        </w:tc>
      </w:tr>
      <w:tr>
        <w:trPr>
          <w:trHeight w:val="283"/>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per load: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0" w:type="dxa"/>
            <w:vAlign w:val="bottom"/>
            <w:shd w:val="clear" w:color="auto" w:fill="CCEEFF"/>
          </w:tcPr>
          <w:p>
            <w:pPr>
              <w:spacing w:after="0"/>
              <w:rPr>
                <w:sz w:val="18"/>
                <w:szCs w:val="18"/>
                <w:color w:val="auto"/>
              </w:rPr>
            </w:pPr>
          </w:p>
        </w:tc>
      </w:tr>
      <w:tr>
        <w:trPr>
          <w:trHeight w:val="216"/>
        </w:trPr>
        <w:tc>
          <w:tcPr>
            <w:tcW w:w="55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00" w:type="dxa"/>
            <w:vAlign w:val="bottom"/>
            <w:shd w:val="clear" w:color="auto" w:fill="CCEEFF"/>
          </w:tcPr>
          <w:p>
            <w:pPr>
              <w:spacing w:after="0"/>
              <w:rPr>
                <w:sz w:val="18"/>
                <w:szCs w:val="18"/>
                <w:color w:val="auto"/>
              </w:rPr>
            </w:pPr>
          </w:p>
        </w:tc>
      </w:tr>
      <w:tr>
        <w:trPr>
          <w:trHeight w:val="324"/>
        </w:trPr>
        <w:tc>
          <w:tcPr>
            <w:tcW w:w="55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Revenue per load on loads hauled via BCO Independent Contractors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tcPr>
          <w:p>
            <w:pPr>
              <w:spacing w:after="0"/>
              <w:rPr>
                <w:sz w:val="24"/>
                <w:szCs w:val="24"/>
                <w:color w:val="auto"/>
              </w:rPr>
            </w:pPr>
          </w:p>
        </w:tc>
      </w:tr>
    </w:tbl>
    <w:p>
      <w:pPr>
        <w:spacing w:after="0" w:line="77" w:lineRule="exact"/>
        <w:rPr>
          <w:sz w:val="20"/>
          <w:szCs w:val="20"/>
          <w:color w:val="auto"/>
        </w:rPr>
      </w:pPr>
    </w:p>
    <w:tbl>
      <w:tblPr>
        <w:tblLayout w:type="fixed"/>
        <w:tblInd w:w="884" w:type="dxa"/>
        <w:tblCellMar>
          <w:top w:w="0" w:type="dxa"/>
          <w:left w:w="0" w:type="dxa"/>
          <w:bottom w:w="0" w:type="dxa"/>
          <w:right w:w="0" w:type="dxa"/>
        </w:tblCellMar>
      </w:tblPr>
      <w:tr>
        <w:trPr>
          <w:trHeight w:val="227"/>
        </w:trPr>
        <w:tc>
          <w:tcPr>
            <w:tcW w:w="3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Revenue by capacity type (as a % of total revenue):</w:t>
            </w:r>
          </w:p>
        </w:tc>
        <w:tc>
          <w:tcPr>
            <w:tcW w:w="13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Truck capacity providers:</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Truck Brokerage Carriers</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25" w:lineRule="exact"/>
        <w:rPr>
          <w:sz w:val="20"/>
          <w:szCs w:val="20"/>
          <w:color w:val="auto"/>
        </w:rPr>
      </w:pPr>
    </w:p>
    <w:p>
      <w:pPr>
        <w:ind w:left="424" w:hanging="424"/>
        <w:spacing w:after="0" w:line="220"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 w:lineRule="exact"/>
        <w:rPr>
          <w:rFonts w:ascii="Times New Roman" w:cs="Times New Roman" w:eastAsia="Times New Roman" w:hAnsi="Times New Roman"/>
          <w:sz w:val="27"/>
          <w:szCs w:val="27"/>
          <w:color w:val="auto"/>
          <w:vertAlign w:val="superscript"/>
        </w:rPr>
      </w:pPr>
    </w:p>
    <w:p>
      <w:pPr>
        <w:ind w:left="424" w:right="80" w:hanging="424"/>
        <w:spacing w:after="0" w:line="200"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primarily reinsurance premium revenue generated by the insurance segment and intra-Mexico transportation services revenue generated by Landstar Metro.</w:t>
      </w:r>
    </w:p>
    <w:p>
      <w:pPr>
        <w:sectPr>
          <w:pgSz w:w="11900" w:h="16838" w:orient="portrait"/>
          <w:cols w:equalWidth="0" w:num="1">
            <w:col w:w="10944"/>
          </w:cols>
          <w:pgMar w:left="436" w:top="297" w:right="519" w:bottom="1440" w:gutter="0" w:footer="0" w:header="0"/>
        </w:sectPr>
      </w:pPr>
    </w:p>
    <w:p>
      <w:pPr>
        <w:spacing w:after="0" w:line="1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4"/>
          </w:cols>
          <w:pgMar w:left="436" w:top="297" w:right="519" w:bottom="1440" w:gutter="0" w:footer="0" w:header="0"/>
          <w:type w:val="continuous"/>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Expenses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Purchased transportation</w:t>
      </w:r>
    </w:p>
    <w:p>
      <w:pPr>
        <w:spacing w:after="0" w:line="119"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Also critical to the Company’s success is its ability to secure capacity, particularly truck capacity, at rates that allow the Company to profitably transport customers’ freight. The following table summarizes the number of available truck capacity providers as of the end of the three most recent fiscal years:</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 30,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2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25,</w:t>
            </w:r>
          </w:p>
        </w:tc>
      </w:tr>
      <w:tr>
        <w:trPr>
          <w:trHeight w:val="173"/>
        </w:trPr>
        <w:tc>
          <w:tcPr>
            <w:tcW w:w="69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20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Truck Brokerage Carriers: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Approved and active </w:t>
            </w:r>
            <w:r>
              <w:rPr>
                <w:rFonts w:ascii="Times New Roman" w:cs="Times New Roman" w:eastAsia="Times New Roman" w:hAnsi="Times New Roman"/>
                <w:sz w:val="25"/>
                <w:szCs w:val="25"/>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64,476</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approved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90,346</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truck capacity providers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85,659</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108,137</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101,403</w:t>
            </w: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 provided by BCO Independent Contractors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60" w:type="dxa"/>
            <w:vAlign w:val="bottom"/>
            <w:shd w:val="clear" w:color="auto" w:fill="CCEEFF"/>
          </w:tcPr>
          <w:p>
            <w:pPr>
              <w:spacing w:after="0"/>
              <w:rPr>
                <w:sz w:val="18"/>
                <w:szCs w:val="18"/>
                <w:color w:val="auto"/>
              </w:rPr>
            </w:pPr>
          </w:p>
        </w:tc>
      </w:tr>
    </w:tbl>
    <w:p>
      <w:pPr>
        <w:spacing w:after="0" w:line="149" w:lineRule="exact"/>
        <w:rPr>
          <w:sz w:val="20"/>
          <w:szCs w:val="20"/>
          <w:color w:val="auto"/>
        </w:rPr>
      </w:pPr>
    </w:p>
    <w:p>
      <w:pPr>
        <w:ind w:left="964" w:hanging="532"/>
        <w:spacing w:after="0"/>
        <w:tabs>
          <w:tab w:leader="none" w:pos="96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Active refers to Truck Brokerage Carriers who moved at least one load in the 180 days immediately preceding the fiscal year end.</w:t>
      </w:r>
    </w:p>
    <w:p>
      <w:pPr>
        <w:spacing w:after="0" w:line="19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Commissions to agents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Commissions to agents are based on contractually agreed-upon percentages of (i) revenue, (ii) revenue less the cost of purchased transportation, or</w:t>
      </w:r>
    </w:p>
    <w:p>
      <w:pPr>
        <w:spacing w:after="0" w:line="39" w:lineRule="exact"/>
        <w:rPr>
          <w:sz w:val="20"/>
          <w:szCs w:val="20"/>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less a contractually agreed upon percentage of revenue retained by Landstar and the cost of purchased transportation (the “retention</w:t>
      </w:r>
    </w:p>
    <w:p>
      <w:pPr>
        <w:spacing w:after="0" w:line="9" w:lineRule="exact"/>
        <w:rPr>
          <w:rFonts w:ascii="Times New Roman" w:cs="Times New Roman" w:eastAsia="Times New Roman" w:hAnsi="Times New Roman"/>
          <w:sz w:val="18"/>
          <w:szCs w:val="18"/>
          <w:color w:val="auto"/>
        </w:rPr>
      </w:pPr>
    </w:p>
    <w:p>
      <w:pPr>
        <w:jc w:val="both"/>
        <w:ind w:left="4"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agents are recognized over the freight transit period as the performance obligation to the customer is completed.</w:t>
      </w:r>
    </w:p>
    <w:p>
      <w:pPr>
        <w:spacing w:after="0" w:line="3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Other operating costs, net of gains on asset sales/dispositions</w:t>
      </w:r>
    </w:p>
    <w:p>
      <w:pPr>
        <w:spacing w:after="0" w:line="11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Maintenance costs for Company-provided trailing equipment, the provision for uncollectible advances and other receivables due from BCO Independent Contractors and independent commission sales agents and BCO Independent Contractor recruiting and qualification costs are the largest components of other operating costs. Also included in other operating costs are trailer rental costs and gains/losses, if any, on sales of Company-owned trailing equipment.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93"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Insurance and claims</w:t>
      </w:r>
    </w:p>
    <w:p>
      <w:pPr>
        <w:spacing w:after="0" w:line="11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With respect to insurance and claims cost, potential liability associated with accidents in the trucking industry is severe and occurrences are unpredictable.</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Landstar retains liability through a self-insured retention for commercial trucking claims up to $5 million per occurrence. Effective May 1, 2019, the Company entered into a three year commercial auto liability insurance arrangement for losses incurred between $5 million and $10 million (the “2019 Initial Excess Policy”) with a third party insurance company. The Company subsequently extended the 2019 Initial Excess Policy for one additional policy year, from May 1, 2022 through April 30, 2023. For commercial trucking claims incurred on or after May 1, 2022 through April 30, 2023, the extended 2019 Initial Excess Policy provides for a limit for a single loss of $5 million, with an aggregate limit of $10 million for the policy period ended April 30, 2023. Effective May 1, 2023, the Company entered into a new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 month term ending April 30, 2026. After payment of the deductible, the 2023 Initial Excess Policy provides for a limit for a single loss of $5 million, with an aggregate limit of $15 million for the thirty-six month term ending April 30, 2026.</w:t>
      </w:r>
    </w:p>
    <w:p>
      <w:pPr>
        <w:spacing w:after="0" w:line="194"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t>The Company also maintains third party insurance arrangements providing excess coverage for commercial trucking liabilities in excess of $10 million. These third party arrangements provide coverage on a per occurrence or aggregated basis. In recent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April 30, 2024, the Company experienced an increase of approximately $21 million, or over 380%, in the premiums charged by third party insurance companies to the Company for excess coverage for commercial trucking liabilities in excess of $10 million.</w:t>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Moreover, the Company from year to year manages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$60 million incurred during the annual policy year ending April 30, 2024, the Company would have an aggregate financial exposure of approximately $25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90"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40" w:top="29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Selling, general and administrative</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During the 2023 fiscal year, employee compensation and benefits accounted for approximately 61%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primarily relate to depreciation of trailing equipment and information technology hardware and software.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11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the provision for uncollectible advances and other receivables due from BCO Independent Contractors and independent commission sales agents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Variable Contribution, Gross Profit Margin and Variable Contribution Margin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95" w:right="439" w:bottom="1440" w:gutter="0" w:footer="0" w:header="0"/>
        </w:sectPr>
      </w:pPr>
    </w:p>
    <w:bookmarkStart w:id="31" w:name="page32"/>
    <w:bookmarkEnd w:id="3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reconciliations of gross profit to variable contribution and gross profit margin to variable contribution margin are each presented below:</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5,303,322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7,436,562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6,537,568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4,068,262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5,804,017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5,114,667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Commissions to agents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462,668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614,865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costs of revenue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4,530,930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6,418,882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5,621,876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Trailing equipment depreciation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Information technology costs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Insurance-related costs (1)</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operating costs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costs of revenue</w:t>
            </w:r>
          </w:p>
        </w:tc>
        <w:tc>
          <w:tcPr>
            <w:tcW w:w="1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229,284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of revenue</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4,757,995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6,648,166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5,816,558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545,327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788,396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other costs of revenue</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229,284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772,392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1,017,680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Variable contribution margin</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424" w:hanging="424"/>
        <w:spacing w:after="0" w:line="257"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w:t>
      </w:r>
    </w:p>
    <w:p>
      <w:pPr>
        <w:spacing w:after="0" w:line="1" w:lineRule="exact"/>
        <w:rPr>
          <w:rFonts w:ascii="Times New Roman" w:cs="Times New Roman" w:eastAsia="Times New Roman" w:hAnsi="Times New Roman"/>
          <w:sz w:val="18"/>
          <w:szCs w:val="18"/>
          <w:color w:val="auto"/>
        </w:rPr>
      </w:pPr>
    </w:p>
    <w:p>
      <w:pPr>
        <w:ind w:left="42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9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43% of the Company’s consolidated revenue in fiscal year 2023 was generated under transactions that pay a fixed percentage of revenue to the third party capacity provider and/or agents while 57% was generated under transactions that pay a variable percentage of revenue to the third party capacity provider and/or agents.</w:t>
      </w:r>
    </w:p>
    <w:p>
      <w:pPr>
        <w:spacing w:after="0" w:line="294" w:lineRule="exact"/>
        <w:rPr>
          <w:sz w:val="20"/>
          <w:szCs w:val="20"/>
          <w:color w:val="auto"/>
        </w:rPr>
      </w:pPr>
    </w:p>
    <w:p>
      <w:pPr>
        <w:ind w:left="4"/>
        <w:spacing w:after="0"/>
        <w:tabs>
          <w:tab w:leader="none" w:pos="164" w:val="left"/>
        </w:tabs>
        <w:rPr>
          <w:sz w:val="20"/>
          <w:szCs w:val="20"/>
          <w:color w:val="auto"/>
        </w:rPr>
      </w:pP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7"/>
          <w:szCs w:val="17"/>
          <w:i w:val="1"/>
          <w:iCs w:val="1"/>
          <w:color w:val="auto"/>
        </w:rPr>
        <w:t>Operating income as a percentage of gross profit and operating income as a percentage of variable contribution</w:t>
      </w:r>
    </w:p>
    <w:p>
      <w:pPr>
        <w:spacing w:after="0" w:line="11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97" w:right="499" w:bottom="1440" w:gutter="0" w:footer="0" w:header="0"/>
        </w:sectPr>
      </w:pPr>
    </w:p>
    <w:bookmarkStart w:id="32" w:name="page33"/>
    <w:bookmarkEnd w:id="32"/>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8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$545,327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788,396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$721,010</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$344,149</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571,083</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$505,668</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gross profit</w:t>
            </w:r>
          </w:p>
        </w:tc>
        <w:tc>
          <w:tcPr>
            <w:tcW w:w="2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72.4%</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70.1%</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$772,392</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1,017,680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$915,692</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$344,149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571,083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$505,668</w:t>
            </w:r>
          </w:p>
        </w:tc>
        <w:tc>
          <w:tcPr>
            <w:tcW w:w="240" w:type="dxa"/>
            <w:vAlign w:val="bottom"/>
            <w:shd w:val="clear" w:color="auto" w:fill="CCEEFF"/>
          </w:tcPr>
          <w:p>
            <w:pPr>
              <w:spacing w:after="0"/>
              <w:rPr>
                <w:sz w:val="18"/>
                <w:szCs w:val="18"/>
                <w:color w:val="auto"/>
              </w:rPr>
            </w:pPr>
          </w:p>
        </w:tc>
      </w:t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variable contribution</w:t>
            </w:r>
          </w:p>
        </w:tc>
        <w:tc>
          <w:tcPr>
            <w:tcW w:w="2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56.1%</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55.2%</w:t>
            </w:r>
          </w:p>
        </w:tc>
      </w:tr>
    </w:tbl>
    <w:p>
      <w:pPr>
        <w:spacing w:after="0" w:line="17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decrease in operating income as a percentage of gross profit from fiscal year 2022 to fiscal year 2023 resulted from operating income decreasing at a more rapid percentage rate than the decrease in gross profit, primarily due to the impact of the Company’s fixed cost infrastructure, principally certain components of selling, general and administrative costs, in comparison to a smaller gross profit base. The increase in operating income as a percentage of gross profit from fiscal year 2021 to fiscal year 2022 resulted from operating income increasing at a more rapid percentage rate than the increase in gross profit, as the Company was able to scale our fixed cost infrastructure, primarily certain components of selling, general and administrative costs, across a larger gross profit base.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decrease in operating income as a percentage of variable contribution from fiscal year 2022 to fiscal year 2023 resulted from operating income decreasing at a more rapid percentage rate than the decrease in variable contribution, primarily due to the impact of the Company’s fixed cost infrastructure, principally certain components of selling, general and administrative costs, in comparison to a smaller variable contribution base, partially offset by the impact of decreased incentive and equity compensation costs under the Company’s variable compensation programs. The increase in operating income as a percentage of variable contribution from fiscal year 2021 to fiscal year 2022 resulted from operating income increasing at a more rapid percentage rate than the increase in variable contribution, as the Company was able to scale our fixed cost infrastructure, primarily certain components of selling, general and administrative costs, as well as certain components of our other costs of revenue, across a larger variable contribution base.</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December 30, 2023 Compared to Fiscal Year Ended December 31, 2022</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Revenue for fiscal year 2023 was $5,303,322,000, a decrease of $2,133,240,000, or 29%, compared to fiscal year 2022. Transportation revenue decreased $2,127,162,000, or 29%. During the Company’s 2023 fiscal year, freight demand was soft throughout the year and culminated with an unusually weak peak season in the 2023 fourth quarter. The decrease in transportation revenue was attributable to a decreased number of loads hauled of approximately 17% and decreased revenue per load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97" w:right="439" w:bottom="1440" w:gutter="0" w:footer="0" w:header="0"/>
        </w:sectPr>
      </w:pPr>
    </w:p>
    <w:bookmarkStart w:id="33" w:name="page34"/>
    <w:bookmarkEnd w:id="33"/>
    <w:p>
      <w:pPr>
        <w:ind w:left="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approximately 15% compared to fiscal year 2022. Reinsurance premiums were $72,476,000 and $78,554,000 for fiscal years 2023 and 2022, respectively. The decrease in revenue from reinsurance premiums was primarily attributable to a decrease in the average number of trucks provided by BCO Independent Contractors in fiscal year 2023 compared to fiscal year 2022, partially offset by an increase in the aggregate value of equipment insured by BCO Independent Contractors under a physical damage program reinsured by Signature in fiscal year 2023 compared to fiscal year 2022. The Company’s fiscal year ends each year on the last Saturday in December and, as such, the Company’s fiscal year 2023 included fifty-two weeks of operations whereas fiscal year 2022 included fifty-three weeks of operations.</w:t>
      </w:r>
    </w:p>
    <w:p>
      <w:pPr>
        <w:spacing w:after="0" w:line="18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Truck transportation revenue generated by BCO Independent Contractors and Truck Brokerage Carriers (together, the “third party truck capacity providers”) for fiscal year 2023 was $4,829,530,000, representing 91% of total revenue, a decrease of $1,801,309,000, or 27%, compared to fiscal year 2022. The number of loads hauled by third party truck capacity providers decreased approximately 17% in fiscal year 2023 compared to fiscal year 2022, and revenue per load on loads hauled by third party truck capacity providers decreased approximately 13% compared to fiscal year 2022.</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decrease in the number of loads hauled via truck compared to fiscal year 2022 was primarily due to a decrease in demand from the record high levels experienced in fiscal year 2022 for the Company’s van services and power-only services included in other truck transportations services, which tend to be more correlated with U.S. consumer demand. Loads hauled via other truck transportation services decreased 37%, loads hauled via van equipment decreased 16%, loads hauled via unsided/platform equipment decreased 10% and less-than-truckload loadings decreased 8% as compared to fiscal year 2022.</w:t>
      </w:r>
    </w:p>
    <w:p>
      <w:pPr>
        <w:spacing w:after="0" w:line="183"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The decrease in revenue per load on loads hauled via truck was primarily due to pricing pressure throughout fiscal year 2023 as industry-wide truck capacity was significantly more readily available as compared to fiscal year 2022, particularly during the 2022 first quarter during which pandemic-related supply chain disruption was at a high point, partially offset by an increased average length of haul during fiscal year 2023. Revenue per load on loads hauled via van equipment decreased 16%, on less-than-truckload loadings decreased 10%, on loads hauled by other truck transportation services decreased 9% and on loads hauled via unsided/platform equipment decreased 6% as compared to fiscal year 2022.</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Brokerage Carrier revenue identified separately in billings to customers and included as a component of Truck Brokerage Carrier revenue were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$147,691,000 and $211,770,000 in fiscal years 2023 and 2022, respectively. It should be noted that billings to many customers of the Company’s truck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brokerage services include a single all-in rate and do not separately identify fuel surcharges on loads hauled via Truck Brokerage Carriers. Accordingly,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overall impact of changes in fuel prices on revenue and revenue per load on loads hauled via truck is likely to be greater than that indicated.</w:t>
      </w:r>
    </w:p>
    <w:p>
      <w:pPr>
        <w:spacing w:after="0" w:line="20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Transportation revenue generated by rail intermodal, air cargo and ocean cargo carriers (collectively, the “multimode capacity providers”) for fiscal year 2023 was $364,935,000, or 7% of total revenue, a decrease of $339,068,000, or 48%, compared to fiscal year 2022. Revenue per load on revenue generated by multimode capacity providers decreased approximately 31% in fiscal year 2023 compared to fiscal year 2022, and the number of loads hauled by multimode capacity providers decreased approximately 24% over the same period. Revenue per load on loads hauled via ocean, air and rail intermodal decreased 40%, 35% and 7%, respectively, during fiscal year 2023 as compared to fiscal year 2022. The decrease in revenue per load on loads hauled by ocean and air cargo carriers was primarily related to the impact of global supply chain disruptions during the 2022 fiscal year, which were particularly acute with respect to international ocean and air freight.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27% decrease in rail loadings, a 23% decrease in ocean loadings and a 19% decrease in air loadings. The 27% decrease in rail loadings and the 23% decrease in ocean loadings were both broad-based with particularly significant declines at a limited number of specific customers, while the 19% decrease in air loadings was primarily attributable to decreased loadings at one specific customer.</w:t>
      </w:r>
    </w:p>
    <w:p>
      <w:pPr>
        <w:spacing w:after="0" w:line="190"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Purchased transportation was 76.7% and 78.0% of revenue in fiscal years 2023 and 2022, respectively. The decrease in purchased transportation as a percentage of revenue was primarily due to (i) a decreased rate of purchased transportation on revenue generated by Truck Brokerage Carriers and</w:t>
      </w:r>
    </w:p>
    <w:p>
      <w:pPr>
        <w:spacing w:after="0" w:line="1" w:lineRule="exact"/>
        <w:rPr>
          <w:sz w:val="20"/>
          <w:szCs w:val="20"/>
          <w:color w:val="auto"/>
        </w:rPr>
      </w:pPr>
    </w:p>
    <w:p>
      <w:pPr>
        <w:ind w:left="4" w:right="20" w:hanging="4"/>
        <w:spacing w:after="0" w:line="253"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percentage of revenue generated by multimode capacity providers, which typically has a higher rate of purchased transportation than third party truck capacity providers. Commissions to agents were 8.7% and 8.3% of revenue in fiscal years 2023 and 2022, respectively. The increase in commissions to agents as a percentage of revenue was primarily attributable to a decreased cost of purchased transportation as a percentage of revenue on revenue generated by Truck Brokerage Carriers during fiscal year 2023.</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97" w:right="499" w:bottom="1440" w:gutter="0" w:footer="0" w:header="0"/>
        </w:sectPr>
      </w:pPr>
    </w:p>
    <w:bookmarkStart w:id="34" w:name="page35"/>
    <w:bookmarkEnd w:id="34"/>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Investment income was $10,141,000 and $3,162,000 in fiscal years 2023 and 2022, respectively. The increase in investment income was attributable to higher average rates of return on investments and a higher average investment balance held by the insurance segment during fiscal year 2023.</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Other operating costs increased $8,999,000 in fiscal year 2023 compared to fiscal year 2022. The increase in other operating costs compared to the prior year was primarily due to (i) increased trailing equipment maintenance costs as a result of the higher average age of the Company-owned trailer fleet and increased labor and parts costs charged by the Company’s network of third party trailer maintenance facilities and (ii) an increased provision for contractor bad debt, partially offset by increased gains on sales of operating property.</w:t>
      </w:r>
    </w:p>
    <w:p>
      <w:pPr>
        <w:spacing w:after="0" w:line="180"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Insurance and claims decreased $11,594,000 in fiscal year 2023 compared to fiscal year 2022. The decrease in insurance and claims expense compared to the prior year was primarily due to decreased severity of current year trucking claims during fiscal year 2023, decreased net unfavorable development of prior years’ claims in fiscal year 2023 and a decrease in BCO miles traveled in the 2023 fiscal year, partially offset by increased insurance premiums, primarily for commercial auto and excess liability coverage. During the 2023 and 2022 fiscal years, insurance and claims costs included $6,058,000 and $11,331,000 of net unfavorable adjustments to prior years’ claims estimates, respectively.</w:t>
      </w:r>
    </w:p>
    <w:p>
      <w:pPr>
        <w:spacing w:after="0" w:line="183"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costs decreased $9,480,000 in fiscal year 2023 as compared to fiscal year 2022. The decrease in selling, general and administrative costs compared to prior year was primarily attributable to a decreased provision for incentive compensation, decreased stock-based compensation expense and a decreased provision for customer bad debt, partially offset by increased information technology costs and increased wages. Included in selling, general and administrative costs was incentive compensation expense of $591,000 and $16,507,000 for the 2023 and 2022 fiscal years, respectively, and stock-based compensation expense of $4,282,000 and $12,399,000 for the 2023 and 2022 fiscal years, respectively.</w:t>
      </w:r>
    </w:p>
    <w:p>
      <w:pPr>
        <w:spacing w:after="0" w:line="16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$700,000 in fiscal year 2023 compared to fiscal year 2022. The increase in depreciation and amortization expense was primarily due to increased depreciation on new and updated digital tools deployed for use by the Company’s network of agents, capacity providers and employees, partially offset by decreased trailing equipment depreciation.</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year-over-prior-year change in interest and debt (income) expense was $7,566,000, with net interest and debt income of $3,946,000 in fiscal year 2023 compared to net interest and debt expense of $3,620,000 in fiscal year 2022. The increase in interest and debt (income) expense was primarily attributable to increased interest income earned on cash balances held by the transportation logistics segment, decreased interest expense related to finance lease obligations and decreased average borrowings on the Company’s revolving credit facility, as the Company had no borrowings during the 2023 fiscal year.</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24.0% for fiscal year 2023 and 24.1% for fiscal year 2022. The effective income tax rates for both fiscal years 2023 and 2022 were higher than the statutory federal income tax rate of 21% primarily attributable to state income taxes and nondeductible executive compensation, partially offset by excess tax benefits realized on stock-based awards.</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Net income was $264,394,000, or $7.36 per basic and diluted share, in fiscal year 2023. Net income was $430,914,000, or $11.76 per basic and diluted share, in fiscal year 2022.</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December 31, 2022 Compared to Fiscal Year Ended December 25, 2021</w:t>
      </w:r>
    </w:p>
    <w:p>
      <w:pPr>
        <w:spacing w:after="0" w:line="121" w:lineRule="exact"/>
        <w:rPr>
          <w:sz w:val="20"/>
          <w:szCs w:val="20"/>
          <w:color w:val="auto"/>
        </w:rPr>
      </w:pPr>
    </w:p>
    <w:p>
      <w:pPr>
        <w:ind w:right="140" w:firstLine="440"/>
        <w:spacing w:after="0" w:line="269" w:lineRule="auto"/>
        <w:rPr>
          <w:sz w:val="20"/>
          <w:szCs w:val="20"/>
          <w:color w:val="auto"/>
        </w:rPr>
      </w:pPr>
      <w:r>
        <w:rPr>
          <w:rFonts w:ascii="Times New Roman" w:cs="Times New Roman" w:eastAsia="Times New Roman" w:hAnsi="Times New Roman"/>
          <w:sz w:val="17"/>
          <w:szCs w:val="17"/>
          <w:color w:val="auto"/>
        </w:rPr>
        <w:t>Revenue for fiscal year 2022 was $7,436,562,000, an increase of $898,994,000, or 14%, compared to fiscal year 2021. Transportation revenue increased $892,297,000, or 14%. The increase in transportation revenue was attributable to increased revenue per load of approximately 8% and an increased number of loads hauled of approximately 5% compared to fiscal year 2021. During the Company’s 2022 fiscal year, demand for the Company’s truck transportation services was at all-time high levels during the 2022 first quarter, as supply chains exhibited significant disruption. The macroeconomic environment subsequently began to slow and supply chain congestion began to ease as year-over-year revenue growth decelerated during the 2022 second and third quarters as compared to the 2021 second and third quarters before turning negative in the 2022 fourth quarter as compared to the 2021 fourth quarter. Reinsurance premiums were $78,554,000 and $71,857,000 for fiscal years 2022 and 2021, respectively. The increase in revenue from reinsurance premiums was primarily attributable to (i) an increase in the aggregate value of equipment insured by BCO Independent Contractors under a physical damage program reinsured by Signature; (ii) participation levels among BCO Independent Contractors in certain occupational accident programs and workers’ compensation programs and (iii) an increase in the average number of trucks provided by BCO Independent Contractors in fiscal year 2022 compared to fiscal year 2021. The Company’s fiscal year ends each year on the last Saturday in December and, as such, the Company’s fiscal year 2022 included fifty-three weeks of operations whereas fiscal year 2021 included fifty-two weeks of operations.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97" w:right="459" w:bottom="1440" w:gutter="0" w:footer="0" w:header="0"/>
        </w:sectPr>
      </w:pPr>
    </w:p>
    <w:bookmarkStart w:id="35" w:name="page36"/>
    <w:bookmarkEnd w:id="35"/>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Truck transportation revenue generated by third party truck capacity providers for fiscal year 2022 was $6,630,839,000, representing 89% of total revenue, an increase of $667,621,000, or 11%, compared to fiscal year 2021. The number of loads hauled by third party truck capacity providers increased approximately 6% in fiscal year 2022 compared to fiscal year 2021, and revenue per load on loads hauled by third party truck capacity providers increased approximately 5% compared to fiscal year 2021.</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increase in the number of loads hauled via truck compared to fiscal year 2021 was due to a broad-based increase in demand for the Company’s truck transportation services during fiscal year 2022. Loads hauled via van equipment increased 5%, loads hauled via unsided/platform equipment increased 7%, less-than-truckload loadings increased 4% and loads hauled via other truck transportation services increased 7% as compared to fiscal year 2021. The year-over-year growth in the number of loads hauled via truck peaked in the 2022 first quarter, decelerated throughout the second and third quarters of fiscal year 2022, and turned negative in the 2022 fourth fiscal quarter. The number of loads hauled via truck were 20%, 10% and 1% above the corresponding period of 2021 in the first, second and third fiscal quarters, respectively. The number of loads hauled via truck during the 2022 fourth fiscal quarter was 6% below the 2021 fourth fiscal quarter, despite the extra week of operations in the 2022 fourth fiscal quarter.</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increase in revenue per load on loads hauled via truck was due to a tight truck capacity environment experienced during fiscal year 2022, in particular during the first fiscal quarter of fiscal year 2022, and the impact of higher diesel fuel costs on loads hauled via Truck Brokerage Carriers, partially offset by a decreased average length of haul during fiscal year 2022. As compared to fiscal year 2021, revenue per load on loads hauled via van equipment increased 5%, on loads hauled via unsided/platform equipment increased 6%, on less-than-truckload loadings increased 17% and on loads hauled by other truck transportation services increased 2%. The year-over-year growth in revenue per load on loads hauled via truck decelerated throughout fiscal year 2022, before turning negative in the 2022 fourth fiscal quarter. Revenue per load on loads hauled via truck was 22% and 10% above prior year in the first and second fiscal quarters, respectively; essentially flat in the 2022 third quarter as compared to the 2021 third quarter, and 7% below the prior year in the 2022 fourth fiscal quarter.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Brokerage Carrier revenue identified separately in billings to customers and included as a component of Truck Brokerage Carrier revenue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$211,770,000 and $107,776,000 in fiscal years 2022 and 2021, respectively. It should be noted that billings to many customers of the Company’s truck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brokerage services include a single all-in rate that does not separately identify fuel surcharges on loads hauled via Truck Brokerage Carriers.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overall impact of changes in fuel prices on revenue and revenue per load on loads hauled via truck is likely to be greater than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Transportation revenue generated by multimode capacity providers for fiscal year 2022 was $704,003,000, or 9% of total revenue, an increase of $216,869,000, or 45%, compared to fiscal year 2021. Revenue per load on revenue generated by multimode capacity providers increased approximately 64% in fiscal year 2022 compared to fiscal year 2021, while the number of loads hauled by multimode capacity providers decreased approximately 12% over the same period. Revenue per load on loads hauled by multimode capacity providers increased for all modes. Revenue per load on loads hauled via air, ocean and rail intermodal increased 118%, 56% and 16%, respectively, during fiscal year 2022 as compared to fiscal year 2021. The increase in revenue per load on loads hauled via air cargo carriers and ocean cargo carriers, in particular, was primarily related to ongoing disruptions in domestic and global supply chains and strong consumer demand.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22% decrease in rail loadings and a 13% decrease in air loadings, partially offset by a 7% increase in ocean loadings. The 22% decrease in rail loadings was broad-based across several agencies and customers, and the 13% decrease in air loadings was entirely attributable to decreased loadings at one specific customer. The 7% increase in ocean loadings was due to a broad-based increase in demand across many customers for the Company’s ocean services.</w:t>
      </w:r>
    </w:p>
    <w:p>
      <w:pPr>
        <w:spacing w:after="0" w:line="190"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Purchased transportation was 78.0% and 78.2% of revenue in fiscal years 2022 and 2021, respectively. The decrease in purchased transportation as a percentage of revenue was primarily due to a decreased rate of purchased transportation on revenue generated by Truck Brokerage Carriers, partially offset by (i) an increased percentage of revenue generated by Truck Brokerage Carriers, which typically has a higher rate of purchased transportation than revenue generated by BCO Independent Contractors and (ii) an increased percentage of revenue generated by multimode capacity providers, which typically has a higher rate of purchased transportation than third party truck capacity providers. Commissions to agents were 8.3% and 7.8% of revenue in fiscal years 2022 and 2021, respectively. The increase in commissions to agents as a percentage of revenue was primarily attributable to a decreased cost of purchased transportation as a percentage of revenue on revenue generated by Truck Brokerage Carriers during fiscal year 2022.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7" w:right="459" w:bottom="1440" w:gutter="0" w:footer="0" w:header="0"/>
        </w:sectPr>
      </w:pPr>
    </w:p>
    <w:bookmarkStart w:id="36" w:name="page37"/>
    <w:bookmarkEnd w:id="36"/>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Investment income was $3,162,000 and $2,857,000 in fiscal years 2022 and 2021, respectively. The increase in investment income was primarily attributable to higher average rates of return on investments during fiscal year 2022, partially offset by a lower average investment balance held by the insurance segment during fiscal year 2022.</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Other operating costs increased $8,661,000 in fiscal year 2022 compared to fiscal year 2021. The increase in other operating costs compared to the prior year was primarily due to (i) increased trailing equipment maintenance costs as a result of (x) increased labor and parts costs charged by the Company’s network of third party trailer maintenance facilities; and (y) an increased average trailer fleet size during fiscal year 2022 and (ii) an increased provision for contractor bad debt, partially offset by increased gains on sales of operating property.</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Insurance and claims increased $20,372,000 in fiscal year 2022 compared to fiscal year 2021. The increase in insurance and claims expense compared to the prior year was primarily due to increased severity of current year trucking claims during fiscal year 2022, increased insurance premiums, primarily for commercial auto and excess liability coverage, and increased net unfavorable development of prior years’ claims in the 2022 fiscal year. During fiscal years 2022 and 2021, insurance and claims costs included $11,331,000 and $9,708,000 of net unfavorable adjustments to prior years’ claims estimates, respectively.</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costs were essentially the same in fiscal year 2022 as compared to fiscal year 2021. In the 2022 fiscal year as compared to the 2021 fiscal year, the Company experienced increased wages, an increased provision for customer bad debt, increased travel and entertainment costs and the return of the Company’s annual agent convention held in April 2022. These increases were offset by decreased stock-based compensation expense and a decreased provision for incentive compensation. Included in selling, general and administrative costs was stock-based compensation expense of $12,399,000 and $27,537,000 for fiscal years 2022 and 2021, respectively, and incentive compensation expense of $16,507,000 and $29,361,000 for fiscal years 2022 and 2021, respectively.</w:t>
      </w:r>
    </w:p>
    <w:p>
      <w:pPr>
        <w:spacing w:after="0" w:line="187"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$7,844,000 in fiscal year 2022 compared to fiscal year 2021. The increase in depreciation and amortization expense was primarily due to increased depreciation on new and updated digital tools deployed for use by the Company’s network of agents, capacity providers and employees, and to a lesser extent, in connection with increased trailing equipment depreciation.</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Interest and debt expense in fiscal year 2022 decreased $356,000 compared to fiscal year 2021. The decrease in interest and debt expense was primarily attributable to increased interest income earned on cash balances held by the transportation logistics segment, partially offset by increased average borrowings on the Company’s revolving credit facility during fiscal year 2022, as the Company had no borrowings under its revolving credit facility during the 2021 period, and increased interest expense related to finance lease obligations. The Company had no borrowings under its revolving credit facility as of the end of fiscal year 2022.</w:t>
      </w:r>
    </w:p>
    <w:p>
      <w:pPr>
        <w:spacing w:after="0" w:line="183" w:lineRule="exact"/>
        <w:rPr>
          <w:sz w:val="20"/>
          <w:szCs w:val="20"/>
          <w:color w:val="auto"/>
        </w:rPr>
      </w:pPr>
    </w:p>
    <w:p>
      <w:pPr>
        <w:ind w:right="220" w:firstLine="440"/>
        <w:spacing w:after="0" w:line="270" w:lineRule="auto"/>
        <w:rPr>
          <w:sz w:val="20"/>
          <w:szCs w:val="20"/>
          <w:color w:val="auto"/>
        </w:rPr>
      </w:pPr>
      <w:r>
        <w:rPr>
          <w:rFonts w:ascii="Times New Roman" w:cs="Times New Roman" w:eastAsia="Times New Roman" w:hAnsi="Times New Roman"/>
          <w:sz w:val="17"/>
          <w:szCs w:val="17"/>
          <w:color w:val="auto"/>
        </w:rPr>
        <w:t>The provisions for income taxes for fiscal years 2022 and 2021 were based on estimated annual effective income tax rates of 24.5% and 24.4%, respectively, adjusted for discrete events, such as benefits resulting from stock-based awards. The actual effective income tax rate for fiscal year 2022 was 24.1%, which was higher than the statutory federal income tax rate of 21%, primarily attributable to state taxes and nondeductible executive compensation, partially offset by excess tax benefits realized on stock-based awards. The actual effective income tax rate for fiscal year 2021 was</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24.0%, higher than the statutory federal income tax rate of 21% primarily due to state taxes and nondeductible executive compensation, partially offset by excess tax benefits realized on stock-based awards. The actual effective income tax rate in fiscal year 2022 of 24.1% was lower than the estimated annual effective income tax rate of 24.5%, primarily due to excess tax benefits recognized on stock-based awards in fiscal year 2022. The actual effective income tax rate in fiscal year 2021 of 24.0% was lower than the 24.4% estimated annual effective income tax rate primarily due to excess tax benefits recognized on stock-based compensation arrangements in fiscal year 2021.</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Net income was $430,914,000, or $11.76 per basic and diluted share, in fiscal year 2022. Net income was $381,524,000, or $9.98 per basic and diluted share, in fiscal year 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97"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Capital Resources and Liquidity</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Working capital and the ratio of current assets to current liabilities were $677,517,000 and 2.0 to 1, respectively, at December 30, 2023, compared with $561,255,000 and 1.6 to 1, respectively, at December 31, 2022, and $512,917,000 and 1.5 to 1, respectively, at December 25, 2021. Landstar has historically operated with current ratios within the range of 1.5 to 1 to 2.0 to 1. Cash provided by operating activities was $393,648,000, $622,659,000, and $276,740,000 in fiscal years 2023, 2022 and 2021, respectively. The decrease in cash flow provided by operating activities for fiscal year 2023 was primarily attributable to decreased net income and decreased favorable net working capital impacts in connection with the timing of collections of receivables and payment of certain payables as compared to the 2022 fiscal year. The increase in cash flow provided by operating activities for fiscal year 2022 was primarily attributable to favorable net working capital impacts in connection with the timing of collections of receivables and payment of certain payables and increased net income as compared to the 2021 fiscal year.</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 declared and paid $1.26 per share, or $45,276,000 in the aggregate, in cash dividends during fiscal year 2023, and during such period, also paid $71,854,000 of dividends payable which were declared during fiscal year 2022 and included in current liabilities in the consolidated balance sheet at December 31, 2022. In addition, on December 4, 2023, the Company announced that its Board of Directors declared a special cash dividend of $2.00 per share, or $71,433,000 in the aggregate, payable on January 19, 2024 to stockholders of record of its Common Stock as of January 3, 2024. Dividends payable of $71,433,000 related to this special dividend were included in current liabilities in the consolidated balance sheet at December 30, 2023. The Company declared and paid $1.10 per share, or $40,284,000 in the aggregate, in cash dividends during fiscal year 2022 and, during such period, also paid $75,387,000 of dividends payable which were declared during fiscal year 2021 and included in current liabilities in the consolidated balance sheet at December 25, 2021. The Company declared and paid $0.92 per share, or $35,191,000 in the aggregate, in cash dividends during fiscal year 2021 and, during such period, also paid $76,770,000 of dividends payable which were declared during fiscal year 2020 and included in current liabilities in the consolidated balance sheet at December 26, 2020. Since paying its first cash dividend in August 2005, the Company has paid approximately $845,000,000 in cash dividends in the aggregate to its stockholders, inclusive of the $2.00 per share special dividend paid on January 19, 2024.</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During fiscal year 2023, the Company purchased 319,332 shares of its Common Stock at a total cost of $54,267,000, including $53,919,000 in cash purchases and accrued excise tax of $348,000 which is included in other current liabilities in the consolidated balance sheet at December 30, 2023. During fiscal year 2022, the Company purchased 1,900,826 shares of its Common Stock at a total cost of $285,983,000. During fiscal year 2021, the Company purchased 733,854 shares of its Common Stock at a total cost of $122,722,000. The Company has used cash provided by operating activities to fund the purchases. Since January 1997, the Company has purchased approximately $2,254,000,000 of its Common Stock under programs authorized by the Board of Directors of the Company in open market and private block transactions. As of December 30, 2023, the Company may purchase in the aggregate up to 3,000,000 shares of its Common Stock under its authorized stock purchase programs. Long-term debt, including current maturities, was $71,140,000 at December 30, 2023, compared to $103,400,000 at December 31, 2022 and $111,804,000 at December 25, 2021.</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Shareholders’ equity was $983,923,000, or 93% of total capitalization (defined as long-term debt including current maturities plus equity), at December 30, 2023, compared to $887,221,000, or 90% of total capitalization at December 31, 2022 and $862,010,000, or 89% of total capitalization at December 25, 2021. The increase in shareholders’ equity was primarily the result of net income, partially offset by dividends declared by the Company and purchases of shares of the Company’s common stock in fiscal year 2023. The increase in shareholders’ equity in fiscal year 2022 was primarily the result of net income, almost entirely offset by purchases of shares of the Company’s Common Stock and dividends declared by the Company in fiscal year 2022.</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July 1, 2022, Landstar entered into a second amended and restated credit agreement with a bank syndicate led by JPMorgan Chase Bank, N.A., as administrative agent (the “Credit Agreement”).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93" w:right="459" w:bottom="1440" w:gutter="0" w:footer="0" w:header="0"/>
        </w:sectPr>
      </w:pPr>
    </w:p>
    <w:bookmarkStart w:id="38" w:name="page39"/>
    <w:bookmarkEnd w:id="3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At December 30, 2023, the Company had no borrowings outstanding and $33,492,000 of letters of credit outstanding under the Credit Agreement. At December 30, 2023, there was $266,508,000 available for future borrowings under the Credit Agreement and access to an additional $300,000,000 under the Credit Agreement’s “accordion” feature. In addition, the Company has $77,054,000 in letters of credit outstanding as collateral for insurance claims that are secured by investments totaling $85,616,000 at December 30, 2023. Investments, all of which are carried at fair value, include primarily investment-grade bonds, asset-backed securities and U.S. Treasury obligations having maturities of up to five years. Fair value of investments is based primarily on quoted market prices. See “Notes to Consolidated Financial Statements” included herein for further discussion on measurement of fair value of investments.</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fiscal years 2023, 2022 and 2021, the Company acquired $4,093,000, $30,659,000 and $48,674,000, respectively, of trailing equipment by entering into finance leases. During fiscal years 2023, 2022 and 2021, the Company also purchased $25,688,000, $26,005,000 and $23,261,000, respectively, of operating property. Included in the $23,261,000 of purchases of operating property during the 2021 fiscal year was $500,000 for which the Company accrued a corresponding liability in accounts payable as of December 26, 2020. Landstar anticipates acquiring either by purchase or lease financing approximately $66,000,000 in new trailing equipment, primarily to replace older trailing equipment in fiscal year 2024. Landstar anticipates spending approximately $19,000,000 on information technology hardware and software in fiscal year 2024, $16,000,000 of which relates to either building or buying software applications that enhance or add to the Company’s technology ecosystem. In addition, Landstar anticipates spending approximately $9,000,000 on buildings and improvements.</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April 1, 2022, Landstar Investment Holdco, LLC, a newly formed Delaware LLC and wholly 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Management believes that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incurred is based upon the facts and circumstances known on the applicable balance sheet date. The ultimate resolution of these claims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amount greater or less than the amount estimated by management. The Company continually revises its existing claim estimates as new or revised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becomes available on the status of each claim. Historically, the Company has experienced both favorable and unfavorable development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years’ claims estimates within its various programs. During fiscal years 2023, 2022 and 2021, insurance and claims costs included $6,058,000,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$11,331,000 and $9,708,000 of net unfavorable adjustments to prior years’ claims estimates, respectively. The unfavorable development of prior years’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97" w:right="459" w:bottom="1440" w:gutter="0" w:footer="0" w:header="0"/>
        </w:sectPr>
      </w:pPr>
    </w:p>
    <w:bookmarkStart w:id="39" w:name="page40"/>
    <w:bookmarkEnd w:id="3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claims in the 2023 fiscal year was attributable to several specific claims. The unfavorable development of prior years’ claims in the 2022 fiscal year was attributable to several specific claims. The unfavorable development of prior years’ claims in the 2021 fiscal year was primarily attributable to five claims. It is reasonably likely that the ultimate outcome of settling all outstanding claims will be more or less than the estimated claims liability at December 30, 2023, primarily due to the inherent difficulty in estimating the severity of commercial trucking claims and the potential judgment or settlement amount that may be incurred in connection with the resolution of such claims.</w:t>
      </w:r>
    </w:p>
    <w:p>
      <w:pPr>
        <w:spacing w:after="0" w:line="183"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Significant variances from management’s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On July 1, 2022, Landstar entered into the Second Amended and Restated Credit Agreement (the “Credit Agreement”) with a bank syndicate led by JPMorgan Chase Bank, N.A., as administrative agent.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revolving credit loans under the Credit Agreement as of December 30, 2023,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0.20% to 0.30%, based on the Company’s Leverage Ratio at the end of the most recent applicable fiscal quarter for which financial statements have been delivered. During all of fiscal year 2023, the entire fourth quarter of 2022 and as of both December 30, 2023 and December 31, 2022, the Company had no borrowings outstanding under the Credit Agreement.</w:t>
      </w:r>
    </w:p>
    <w:p>
      <w:pPr>
        <w:spacing w:after="0" w:line="18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Long-term investments, all of which are available-for-sale and are carried at fair value, include primarily investment-grade bonds and asset-backed securities having maturities of up to five years. Assuming that the long-term portion of investments remains at $92,100,000, the balance at December 30, 2023, a hypothetical increase or decrease in interest rates of 100 basis points would not have a material impact on future earnings on an annualized basis. Short-term investments consist of short-term investment-grade instruments and the current maturities of investment-grade corporate bonds, asset-backed securities and U.S. Treasury obligations. Accordingly, any future interest rate risk on these short-term investments would not be material to the Company’s operating results.</w:t>
      </w:r>
    </w:p>
    <w:p>
      <w:pPr>
        <w:spacing w:after="0" w:line="18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December 30, 2023 were collectively, as translated to U.S. dollars, approximately 4% of total consolidated assets. Accordingly, translation gains or losses of 20% or less related to the Canadian and Mexican operations would not be material.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97"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LANDSTAR SYSTEM,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 31,</w:t>
            </w:r>
          </w:p>
        </w:tc>
      </w:tr>
      <w:tr>
        <w:trPr>
          <w:trHeight w:val="173"/>
        </w:trPr>
        <w:tc>
          <w:tcPr>
            <w:tcW w:w="8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820" w:type="dxa"/>
            <w:vAlign w:val="bottom"/>
            <w:shd w:val="clear" w:color="auto" w:fill="CCEEFF"/>
          </w:tcPr>
          <w:p>
            <w:pPr>
              <w:ind w:left="51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481,043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339,581</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53,955</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 less allowance of $11,738 and $12,121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743,762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967,793</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including advances to independent contractors, less allowance of $14,010 and $10,579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56,235</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21,826</w:t>
            </w: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1,352,741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1,439,390</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 of $436,682 and $393,274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314,990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41,220</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136,279</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1,801,846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1,931,879</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overdraft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61,541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92,953</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527,372</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36,175</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claims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50,836</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71,854</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98,945</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878,135</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67,225</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58,268</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41,030</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 authorized 160,000,000 shares, issued 68,497,324 and 68,382,310 shares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254,642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258,487</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2,783,645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2,635,960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32,780,651 and 32,455,300 shares of common stock in treasury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(2,048,184)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(1,992,886)</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(15,024)</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887,221</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1,801,846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1,931,879</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93"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LANDSTAR SYSTEM, INC. AND SUBSIDIARY</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20" w:type="dxa"/>
            <w:vAlign w:val="bottom"/>
          </w:tcPr>
          <w:p>
            <w:pPr>
              <w:spacing w:after="0"/>
              <w:rPr>
                <w:sz w:val="10"/>
                <w:szCs w:val="10"/>
                <w:color w:val="auto"/>
              </w:rPr>
            </w:pPr>
          </w:p>
        </w:tc>
        <w:tc>
          <w:tcPr>
            <w:tcW w:w="110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4,068,262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5,804,017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5,114,667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to agents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462,668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614,865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507,209</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36,531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and claims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114,241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105,463</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221,279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221,278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49,609</w:t>
            </w:r>
          </w:p>
        </w:tc>
        <w:tc>
          <w:tcPr>
            <w:tcW w:w="0" w:type="dxa"/>
            <w:vAlign w:val="bottom"/>
          </w:tcPr>
          <w:p>
            <w:pPr>
              <w:spacing w:after="0"/>
              <w:rPr>
                <w:sz w:val="1"/>
                <w:szCs w:val="1"/>
                <w:color w:val="auto"/>
              </w:rPr>
            </w:pPr>
          </w:p>
        </w:tc>
      </w:tr>
      <w:tr>
        <w:trPr>
          <w:trHeight w:val="230"/>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4,969,314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6,868,641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6,034,757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344,149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505,668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(income)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567,463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501,692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136,549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264,394</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430,914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381,524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basic and diluted shares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35,920,000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36,633,000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38,235,000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LANDSTAR SYSTEM, INC. AND SUBSIDIARY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Fiscal Years Ended</w:t>
            </w:r>
          </w:p>
        </w:tc>
      </w:tr>
      <w:tr>
        <w:trPr>
          <w:trHeight w:val="117"/>
        </w:trPr>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 30,</w:t>
            </w:r>
          </w:p>
        </w:tc>
        <w:tc>
          <w:tcPr>
            <w:tcW w:w="820" w:type="dxa"/>
            <w:vAlign w:val="bottom"/>
            <w:tcBorders>
              <w:top w:val="single" w:sz="8" w:color="auto"/>
            </w:tcBorders>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Dec. 25,</w:t>
            </w:r>
          </w:p>
        </w:tc>
        <w:tc>
          <w:tcPr>
            <w:tcW w:w="120" w:type="dxa"/>
            <w:vAlign w:val="bottom"/>
          </w:tcPr>
          <w:p>
            <w:pPr>
              <w:spacing w:after="0"/>
              <w:rPr>
                <w:sz w:val="10"/>
                <w:szCs w:val="10"/>
                <w:color w:val="auto"/>
              </w:rPr>
            </w:pPr>
          </w:p>
        </w:tc>
      </w:tr>
      <w:tr>
        <w:trPr>
          <w:trHeight w:val="173"/>
        </w:trPr>
        <w:tc>
          <w:tcPr>
            <w:tcW w:w="8460" w:type="dxa"/>
            <w:vAlign w:val="bottom"/>
          </w:tcPr>
          <w:p>
            <w:pPr>
              <w:spacing w:after="0"/>
              <w:rPr>
                <w:sz w:val="15"/>
                <w:szCs w:val="15"/>
                <w:color w:val="auto"/>
              </w:rPr>
            </w:pPr>
          </w:p>
        </w:tc>
        <w:tc>
          <w:tcPr>
            <w:tcW w:w="68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$264,394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$430,914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$381,524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4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holding gains (losses) on available-for-sale investments, net of tax expense (benefit) of $942,</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($2,345) and ($739)</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3,439</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(9,621)</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(3,404)</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272,553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421,293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378,120</w:t>
            </w:r>
          </w:p>
        </w:tc>
        <w:tc>
          <w:tcPr>
            <w:tcW w:w="12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LANDSTAR SYSTEM, INC. AND SUBSIDIARY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20" w:type="dxa"/>
            <w:vAlign w:val="bottom"/>
            <w:tcBorders>
              <w:bottom w:val="single" w:sz="8" w:color="auto"/>
            </w:tcBorders>
            <w:gridSpan w:val="4"/>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 30,</w:t>
            </w:r>
          </w:p>
        </w:tc>
        <w:tc>
          <w:tcPr>
            <w:tcW w:w="9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740" w:type="dxa"/>
            <w:vAlign w:val="bottom"/>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Dec. 25,</w:t>
            </w:r>
          </w:p>
        </w:tc>
        <w:tc>
          <w:tcPr>
            <w:tcW w:w="120" w:type="dxa"/>
            <w:vAlign w:val="bottom"/>
          </w:tcPr>
          <w:p>
            <w:pPr>
              <w:spacing w:after="0"/>
              <w:rPr>
                <w:sz w:val="10"/>
                <w:szCs w:val="10"/>
                <w:color w:val="auto"/>
              </w:rPr>
            </w:pPr>
          </w:p>
        </w:tc>
      </w:tr>
      <w:tr>
        <w:trPr>
          <w:trHeight w:val="173"/>
        </w:trPr>
        <w:tc>
          <w:tcPr>
            <w:tcW w:w="7240" w:type="dxa"/>
            <w:vAlign w:val="bottom"/>
          </w:tcPr>
          <w:p>
            <w:pPr>
              <w:spacing w:after="0"/>
              <w:rPr>
                <w:sz w:val="15"/>
                <w:szCs w:val="15"/>
                <w:color w:val="auto"/>
              </w:rPr>
            </w:pPr>
          </w:p>
        </w:tc>
        <w:tc>
          <w:tcPr>
            <w:tcW w:w="174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5"/>
                <w:szCs w:val="15"/>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$ 264,394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$ 430,914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$ 381,524</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58,153</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57,453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49,609</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charges</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Provisions for losses on trade and other accounts receivable</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14,032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12,220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5,722</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Gains on sales/disposals of operating property</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(7,709)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(3,790)</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12,399</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27,537</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Decrease (increase) in trade and other accounts receivable</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222,895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219,190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(362,234)</w:t>
            </w:r>
          </w:p>
        </w:tc>
      </w:tr>
      <w:tr>
        <w:trPr>
          <w:trHeight w:val="216"/>
        </w:trPr>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(2,544)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4,444</w:t>
            </w:r>
          </w:p>
        </w:tc>
      </w:tr>
      <w:tr>
        <w:trPr>
          <w:trHeight w:val="216"/>
        </w:trPr>
        <w:tc>
          <w:tcPr>
            <w:tcW w:w="7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(131,392)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(76,758)</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224,125</w:t>
            </w:r>
          </w:p>
        </w:tc>
      </w:tr>
      <w:tr>
        <w:trPr>
          <w:trHeight w:val="216"/>
        </w:trPr>
        <w:tc>
          <w:tcPr>
            <w:tcW w:w="7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(15,795)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(31,571)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43,422</w:t>
            </w:r>
          </w:p>
        </w:tc>
      </w:tr>
      <w:tr>
        <w:trPr>
          <w:trHeight w:val="216"/>
        </w:trPr>
        <w:tc>
          <w:tcPr>
            <w:tcW w:w="7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(Decrease) increase in insurance claims</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(8,357)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(92,236)</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393,648</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622,659</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276,740</w:t>
            </w:r>
          </w:p>
        </w:tc>
        <w:tc>
          <w:tcPr>
            <w:tcW w:w="120" w:type="dxa"/>
            <w:vAlign w:val="bottom"/>
          </w:tcPr>
          <w:p>
            <w:pPr>
              <w:spacing w:after="0"/>
              <w:rPr>
                <w:sz w:val="20"/>
                <w:szCs w:val="20"/>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112,555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41,198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31,938</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(101,639)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(40,202)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(84,992)</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operating property</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(25,688)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(23,261)</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sales of operating property</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2,971</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 of non-marketable securities</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(24,772)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(73,344)</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increase in cash overdraft</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(31,412)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(23,525)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41,730</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(117,130)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(115,671)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(111,961)</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Payment for debt issue costs</w:t>
            </w:r>
          </w:p>
        </w:tc>
        <w:tc>
          <w:tcPr>
            <w:tcW w:w="1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Taxes paid in lieu of shares issued related to stock-based compensation plans</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(10,428)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(53,919)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(285,983)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(122,722)</w:t>
            </w: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(36,353)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(39,063)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(37,644)</w:t>
            </w:r>
          </w:p>
        </w:tc>
      </w:tr>
      <w:tr>
        <w:trPr>
          <w:trHeight w:val="216"/>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 of deferred consideration</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7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(247,971)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(475,682)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(232,947)</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141,462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120,010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(29,783)</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339,581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219,571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249,354</w:t>
            </w:r>
          </w:p>
        </w:tc>
      </w:tr>
      <w:tr>
        <w:trPr>
          <w:trHeight w:val="27"/>
        </w:trPr>
        <w:tc>
          <w:tcPr>
            <w:tcW w:w="7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$ 481,043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$ 339,581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$ 219,571</w:t>
            </w:r>
          </w:p>
        </w:tc>
      </w:tr>
      <w:tr>
        <w:trPr>
          <w:trHeight w:val="20"/>
        </w:trPr>
        <w:tc>
          <w:tcPr>
            <w:tcW w:w="7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60"/>
        <w:spacing w:after="0" w:line="260" w:lineRule="auto"/>
        <w:rPr>
          <w:sz w:val="20"/>
          <w:szCs w:val="20"/>
          <w:color w:val="auto"/>
        </w:rPr>
      </w:pPr>
      <w:r>
        <w:rPr>
          <w:rFonts w:ascii="Times New Roman" w:cs="Times New Roman" w:eastAsia="Times New Roman" w:hAnsi="Times New Roman"/>
          <w:sz w:val="18"/>
          <w:szCs w:val="18"/>
          <w:b w:val="1"/>
          <w:bCs w:val="1"/>
          <w:color w:val="auto"/>
        </w:rPr>
        <w:t>LANDSTAR SYSTEM, INC. AND SUBSIDIARY CONSOLIDATED STATEMENTS OF CHANGES IN SHAREHOLDERS’ EQUITY For the Fiscal Years Ended December 30, 2023, December 31, 2022 and December 25, 2021 (In thousands, except share and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3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40" w:type="dxa"/>
            <w:vAlign w:val="bottom"/>
            <w:gridSpan w:val="5"/>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1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1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68,183,702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$228,875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$2,046,238</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29,797,639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$(1,581,961)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$ 691,835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381,524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381,524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($2.92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(110,578)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(110,578)</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733,854</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(122,722)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(122,722)</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stock related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49,273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7,742</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27,537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27,537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(3,404)</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25, 2021</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68,232,975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$255,148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$2,317,184</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30,539,235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$(1,705,601)</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$ 862,010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430,914</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430,914</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($3.10 per share)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(112,138)</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(112,138)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1,900,826</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(285,983)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(285,983)</w:t>
            </w:r>
          </w:p>
        </w:tc>
        <w:tc>
          <w:tcPr>
            <w:tcW w:w="0" w:type="dxa"/>
            <w:vAlign w:val="bottom"/>
          </w:tcPr>
          <w:p>
            <w:pPr>
              <w:spacing w:after="0"/>
              <w:rPr>
                <w:sz w:val="1"/>
                <w:szCs w:val="1"/>
                <w:color w:val="auto"/>
              </w:rPr>
            </w:pPr>
          </w:p>
        </w:tc>
      </w:tr>
      <w:tr>
        <w:trPr>
          <w:trHeight w:val="198"/>
        </w:trPr>
        <w:tc>
          <w:tcPr>
            <w:tcW w:w="2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stock related to</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15,239</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(10,360)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12,399</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(9,621)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68,382,310</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$258,487</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$2,635,960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32,455,300</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$(1,992,886)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(15,024)</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$ 887,221</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264,394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264,394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($3.26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(116,709)</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(116,709)</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319,332</w:t>
            </w: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(54,267)</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(54,267)</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stock related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115,014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6,019</w:t>
            </w: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68,497,324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254,642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2,783,645</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32,780,651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(2,048,184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$ 983,923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698"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LANDSTAR SYSTEM, INC. AND SUBSIDIARY</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Landstar System, Inc. and its subsidiary, Landstar System Holdings, Inc. (“LSHI”). Landstar System, Inc. and its subsidiary are herein referred to as “Landstar” or the “Company.” Significant intercompany accounts have been eliminated in consolidation.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the use of management’s estimates. Actual results could differ from those estimates.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Landstar’s fiscal year is the 52 or 53 week period ending the last Saturday in December.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nature of the Company’s freight transportation services and its performance obligations to customers, regardless of the mode of transportation used to perform such services, relate to the safe and on-time pick-up and delivery of a customer’s freight on a shipment-by-shipment basis. Landstar customers are typically invoiced on a shipment-by-shipment basis at a pre-defined rate, payable thirty to sixty (30-60) days after the customer’s receipt of such invoice. Payment terms to customers do not contain a significant financing component and the amount owed by the customer does not contain variable terms, embedded or otherwise. We have determined that revenue recognition over the freight transit period provides a faithful depiction of the transfer of services to the customer as our obligation for which we are primarily responsible for fulfilling is performed over the transit period. Accordingly, transportation revenue billed to a customer for the physical transportation of freight and related direct freight expenses are recognized on a gross basis over the freight transit period as the performance obligation to the customer is satisfied. The Company determines the transit period for a given shipment based upon the pick-up date and the delivery date, which may be estimated if delivery has not occurred as of the reporting date. Determining the transit period and how much of it has been completed as of a given reporting date may therefore require management to make judgments that affect the timing of revenue recognized. With respect to shipments with a pick-up date in one reporting period and a delivery date in another, the Company recognizes such transportation revenue based on relative transit time in each reporting period. A days in transit output method is used to measure the progress of the performance of the Company’s freight transportation services as of the reporting date and a portion of the total revenue that will be billed to the customer once a load is delivered is recognized in each reporting period based on the percentage of total transit time that has been completed at the end of the applicable reporting period. Reinsurance premiums of the insurance segment are recognized over the period earned, which is usually on a monthly basis. Fuel surcharges billed to customers for freight hauled by independent contractors who provide truck capacity to the Company under exclusive lease arrangements (the “BCO Independent Contractors”) are excluded from revenue and paid in entirety to the BCO Independent Contractors.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 Disaggregation of Revenue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fiscal years ended December 30, 2023, December 31, 2022 and December 25, 2021 (dollars in thousands):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440" w:type="dxa"/>
            <w:vAlign w:val="bottom"/>
            <w:gridSpan w:val="4"/>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0"/>
              </w:rPr>
              <w:t>Mode</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 BCO Independent Contractors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 – Truck Brokerage Carriers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Rail intermodal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Truck Equipment Type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equipment</w:t>
            </w:r>
          </w:p>
        </w:tc>
        <w:tc>
          <w:tcPr>
            <w:tcW w:w="14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2,742,281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3,892,085</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3,525,830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4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1,490,393</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1,760,357</w:t>
            </w:r>
          </w:p>
        </w:tc>
        <w:tc>
          <w:tcPr>
            <w:tcW w:w="3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1,549,037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Less-than-truckload</w:t>
            </w:r>
          </w:p>
        </w:tc>
        <w:tc>
          <w:tcPr>
            <w:tcW w:w="14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142,438</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14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479,173</w:t>
            </w:r>
          </w:p>
        </w:tc>
        <w:tc>
          <w:tcPr>
            <w:tcW w:w="260" w:type="dxa"/>
            <w:vAlign w:val="bottom"/>
          </w:tcPr>
          <w:p>
            <w:pPr>
              <w:spacing w:after="0"/>
              <w:rPr>
                <w:sz w:val="20"/>
                <w:szCs w:val="20"/>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835,959</w:t>
            </w:r>
          </w:p>
        </w:tc>
        <w:tc>
          <w:tcPr>
            <w:tcW w:w="340" w:type="dxa"/>
            <w:vAlign w:val="bottom"/>
          </w:tcPr>
          <w:p>
            <w:pPr>
              <w:spacing w:after="0"/>
              <w:rPr>
                <w:sz w:val="20"/>
                <w:szCs w:val="20"/>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770,846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hanging="424"/>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 Claim Costs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Landstar provides, primarily on an actuarially determined basis, for the estimated costs of cargo, property, casualty, general liability and workers’ compensation claims both reported and for claims incurred but not reported.</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Landstar retains liability through a self-insured retention for commercial trucking claims up to $5 million per occurrence. Effective May 1, 2019, the Company entered into a three year commercial auto liability insurance arrangement for losses incurred between $5 million and $10 million (the “2019 Initial Excess Policy”) with a third party insurance company. The Company subsequently extended the 2019 Initial Excess Policy for one additional policy year, from May 1, 2022 through April 30, 2023. For commercial trucking claims incurred on or after May 1, 2022 through April 30, 2023, the extended 2019 Initial Excess Policy provides for a limit for a single loss of $5 million, with an aggregate limit of $10 million for the policy period ended April 30, 2023. Effective May 1, 2023, the Company entered into a new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 month term ending April 30, 2026. After payment of the deductible, the 2023 Initial Excess Policy provides for a limit for a single loss of $5 million, with an aggregate limit of $15 million for the thirty-six month term ending April 30, 2026.</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of $10 million. These third party arrangements provide coverage on a per occurrence or aggregated basis. The Company from year to year manages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82"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Tires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Tires purchased as part of trailing equipment are capitalized as part of the cost of the equipment. Replacement tires are charged to expense when placed in service.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Included in cash and cash equivalents are all investments, except those provided for collateral, with an original maturity of 3 months or less. At December 30, 2023 and December 31, 2022, the Company had no restricted cash held by the Company’s insurance segment. At December 25, 2021, the Company had $4,049,000 of restricted cash held by the Company’s insurance segment included in the short-term investments balance of $35,778,000, providing collateral, along with certain other investments, for the letters of credit issued to guarantee payment of insurance claims.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short and long-term investments, trade and other accounts receivable, accounts payable, other accrued liabilities, and long-term debt plus current maturities (“Debt”). The carrying value of cash equivalents, trade and other accounts receivable, accounts payable, current insurance claims and other accrued liabilities approximates fair value as the assets and liabilities are short term in nature. Short and long-term investments are carried at fair value as further described in Note 3 in the Company’s consolidated financial statements. The Company’s Debt includes borrowings under the Company’s revolving credit facility, to the extent there are any, plus borrowings relating to finance lease obligations used to finance trailing equipment. The interest rates on borrowings under the revolving credit facility are typically tied to short-term interest rates that adjust monthly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 and Other Receivables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allowance for doubtful accounts for both trade and other receivables represents management’s estimate of the amount of outstanding receivables that will not be collected. Estimates are used to determine the allowance for doubtful accounts for both trade and other receivables and are generally based on specific identification, historical collection results, current economic trends and changes in payment trends. Following is a summary of the activity in the allowance for doubtful accounts for fiscal years ending December 30, 2023, December 31, 2022 and December 25, 2021 (in thousands):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3"/>
                <w:szCs w:val="13"/>
                <w:color w:val="auto"/>
              </w:rPr>
            </w:pPr>
          </w:p>
        </w:tc>
        <w:tc>
          <w:tcPr>
            <w:tcW w:w="88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5"/>
                <w:szCs w:val="15"/>
                <w:color w:val="auto"/>
              </w:rPr>
            </w:pPr>
          </w:p>
        </w:tc>
        <w:tc>
          <w:tcPr>
            <w:tcW w:w="88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30, 2023</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12,121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(6,087)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15,376</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24,069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(10,781)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27,320</w:t>
            </w: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(2,307)</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12,121</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24,069</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25, 2021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9,511</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(6,270)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16,785</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Property</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Operating property is recorded at cost. Depreciation is provided on a straight-line basis over the estimated useful lives of the related assets. Buildings and improvements are being depreciated over 30 years. Trailing equipment is being depreciated over 7 to 10 years. Information technology hardware and software is generally being depreciated over 3 to 7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paid over the fair value of the net assets of acquired businesses. The Company has two reporting units within the transportation logistics segment that report goodwill. The Company reviews its goodwill balance annually for impairment for each reporting unit, unless circumstances dictate more frequent assessments, and in accordance with ASU 2011-08, </w:t>
      </w:r>
      <w:r>
        <w:rPr>
          <w:rFonts w:ascii="Times New Roman" w:cs="Times New Roman" w:eastAsia="Times New Roman" w:hAnsi="Times New Roman"/>
          <w:sz w:val="18"/>
          <w:szCs w:val="18"/>
          <w:i w:val="1"/>
          <w:iCs w:val="1"/>
          <w:color w:val="auto"/>
        </w:rPr>
        <w:t>Testing Goodwill for Impairment</w:t>
      </w:r>
      <w:r>
        <w:rPr>
          <w:rFonts w:ascii="Times New Roman" w:cs="Times New Roman" w:eastAsia="Times New Roman" w:hAnsi="Times New Roman"/>
          <w:sz w:val="18"/>
          <w:szCs w:val="18"/>
          <w:color w:val="auto"/>
        </w:rPr>
        <w:t>. ASU 2011-08 permits an initial assessment, commonly referred to as “step zero”, of qualitative factors to determine whether it is more likely than not that the fair value of a reporting unit is less than its carrying amount and also provides a basis for determining whether it is necessary to perform the quantitative analysis required by ASC Topic 350. In the fourth fiscal quarter of 2023, the Company performed the qualitative assessment of goodwill and determined it was more likely than not that the fair value of each of its reporting units would be greater than its carrying amount. Therefore, the Company determined it was not necessary to perform the quantitative goodwill impairment test. Furthermore, there has been no historical impairment of the Company’s goodwill.</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is equal to the current year’s liability for income taxes and a provision for deferred income taxes. Deferred tax assets and liabilities are recorded for the future tax effects attributable to temporary differences between the financial statement carrying amounts of existing assets and liabilities and their respective tax bases. Deferred tax assets and liabilities are measured using the enacted tax rates expected to be applied to taxable income in the years in which those temporary differences are expected to be recovered or settled.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Company’s share-based payment arrangements include restricted stock units (“RSU”), non-vested restricted stock, Deferred Stock Units and stock options. The fair value of an RSU with a performance condition is determined based on the market value of the Company’s Common Stock on the date of grant, discounted for lack of marketability for a minimum post-vesting holding requirement. With respect to RSU awards with a performance condition, the Company reports compensation expense ratably over the life of the award based on an estimated number of units that will vest over the life of the award, multiplied by the fair value of an RSU. The fair value of an RSU with a market condition is determined at the time of grant based on the expected achievement of the market condition at the end of each vesting period. With respect to RSU awards with a market condition, the Company recognizes compensation expense ratably over the requisite service period under an award based on the fair market value of the award at the time of grant, regardless of whether the market condition is satisfied. Previously recognized compensation cost would be reversed, however, if the employee terminated employment prior to completing such requisite service period. The Company estimates the fair value of stock option awards on the date of grant using the Black-Scholes pricing model and recognizes compensation cost for stock option awards expected to vest on a straight-line basis over the requisite service period for the entire award. Forfeitures are estimated at grant date based on historical experience and anticipated employee turnover. The fair values of each share of non-vested restricted stock issued and Deferred Stock Unit granted are based on the fair value of a share of the Company’s Common Stock on the date of grant and compensation costs for non-vested restricted stock and Deferred Stock Units are recognized on a straight-line basis over the requisite service period for the award.</w:t>
      </w: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Basic earnings per common share are based on the weighted average number of common shares outstanding, which includes outstanding non-vested restricted stock and outstanding Deferred Stock Units. Diluted earnings per share are based on the weighted average number of common shares outstanding plus the incremental shares that would have been outstanding upon the assumed exercise of all dilutive stock options. During the fiscal years ended December 30, 2023, December 31, 2022 and December 25, 2021, the weighted-average number of common shares outstanding is the same for purposes of the calculations of both basic and diluted earnings per share, as the impact on earnings per share of future compensation expense related to outstanding, unvested time-based awards is greater than the incremental impact of outstanding dilutive stock options in each period, and would therefore have an anti-dilutive effect on earnings per share if included in the calculation of earnings per share. Accordingly, the Company had no reconciling items between the average number of common shares outstanding used to calculate basic earnings per common share and the average number of common shares and common share equivalents outstanding used to calculate diluted earnings per share during the fiscal years ended December 30, 2023, December 31, 2022 and December 25, 2021.</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the fiscal years ended December 30, 2023, December 31, 2022 and December 25, 2021, no options outstanding to purchase shares of Common Stock were antidilutive. As of December 30, 2023, there were no outstanding options issued by the Company. Outstanding RSUs were excluded from the calculation of diluted earnings per share for all periods because the performance metric requirements or market condition for vesting had not been satisfied.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698"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4, 2023, the Company announced that its Board of Directors declared a special cash dividend of $2.00 per share payable on January 19, 2024 to stockholders of record of its Common Stock as of January 3, 2024. Dividends payable of $71,433,000 related to this special dividend were included in current liabilities in the consolidated balance sheet at December 30, 2023.</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6, 2022, the Company announced that its Board of Directors declared a special cash dividend of $2.00 per share payable on January 20, 2023 to stockholders of record of its Common Stock as of January 6, 2023. Dividends payable of $71,854,000 related to this special dividend were included in current liabilities in the consolidated balance sheet at December 31,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Other Comprehensive Income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accumulated other comprehensive income (loss), net of related income taxes, as of and for the fiscal years ended December 30, 2023, December 31, 2022 and December 25, 2021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Holding Gains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7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740" w:type="dxa"/>
            <w:vAlign w:val="bottom"/>
            <w:gridSpan w:val="4"/>
          </w:tcPr>
          <w:p>
            <w:pPr>
              <w:jc w:val="center"/>
              <w:ind w:left="879"/>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7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26, 2020</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25, 2021</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to investment income due to the realization of previously unrealized gains and losses in the accompanying consolidated statements of income were not significant for the fiscal years ended December 30, 2023, December 31, 2022 and December 25,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Investments include primarily investment-grade corporate bonds, asset-backed securities and U.S. Treasury obligations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and direct obligations of government agencies. Unrealized losses, net of unrealized gains, on the investments in the bond portfolio were $6,382,000 and $10,763,000 at December 30, 2023 and December 31, 2022,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amortized cost and fair values of available-for-sale investments are as follows at December 30, 2023 and December 31, 2022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December 30, 2023</w:t>
            </w: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16,832</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118,481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263"/>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158,143</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6"/>
              </w:rPr>
              <w:t>281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4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151,761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21,910</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126,134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169,293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158,530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those available-for-sale investments with unrealized losses at December 30, 2023 and December 31, 2022, the following table summarizes the duration of the unrealized loss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5"/>
                <w:szCs w:val="15"/>
                <w:color w:val="auto"/>
              </w:rPr>
            </w:pP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55"/>
        </w:trPr>
        <w:tc>
          <w:tcPr>
            <w:tcW w:w="568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30, 2023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40" w:type="dxa"/>
            <w:vAlign w:val="bottom"/>
            <w:tcBorders>
              <w:top w:val="single" w:sz="8" w:color="auto"/>
            </w:tcBorders>
            <w:shd w:val="clear" w:color="auto" w:fill="CCEEFF"/>
          </w:tcPr>
          <w:p>
            <w:pPr>
              <w:spacing w:after="0"/>
              <w:rPr>
                <w:sz w:val="2"/>
                <w:szCs w:val="2"/>
                <w:color w:val="auto"/>
              </w:rPr>
            </w:pPr>
          </w:p>
        </w:tc>
        <w:tc>
          <w:tcPr>
            <w:tcW w:w="4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14,307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14,307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90,347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103,453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106,959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16,016</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 and direct obligations of government agencies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54,031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116,421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7,775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56,275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78,406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134,681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Short-term investments include $59,661,000 in current maturities of investments held by the Company’s insurance segment at December 30, 2023. The non-current portion of the bond portfolio of $92,100,000 is included in other assets. The short-term investments, together with $25,955,000 of non-current investments, provide collateral for the $77,054,000 of letters of credit issued to guarantee payment of insurance claims.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represents the earnings on the insurance segment’s assets. Investment income earned from the assets of the insurance segment are included as a component of operating income as the investment of these assets is critical to providing collateral, liquidity and earnings with respect to the operation of the Company’s insurance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provisions for income taxes consisted of the following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$76,827</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116,642</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91,410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141,909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(8,410)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(7,709)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83,701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136,549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Temporary differences and carryforwards which gave rise to deferred tax assets and liabilities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 30, 2023</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valuations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6,616</w:t>
            </w:r>
          </w:p>
        </w:tc>
        <w:tc>
          <w:tcPr>
            <w:tcW w:w="5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Self-insured claims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3,376</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property</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39,117</w:t>
            </w:r>
          </w:p>
        </w:tc>
        <w:tc>
          <w:tcPr>
            <w:tcW w:w="5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49,092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23"/>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46,942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56,879</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differences between income taxes calculated at the federal income tax rate of 21% on income before income taxes and the provisions for income taxes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8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federal income tax rate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$73,100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$ 119,167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$105,355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11,250</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16,596</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14,260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3,552</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Meals and entertainment exclusion</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(1,672)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(2,069)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83,701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136,549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120,168</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files a consolidated U.S. federal income tax return. The Company or its subsidiaries file state tax returns in the majority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state tax jurisdictions. With few exceptions, the Company and its subsidiaries are no longer subject to U.S. federal or state income tax examinations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tax authorities for 2019 and prior years. The Company’s wholly-owned Canadian subsidiary,</w:t>
      </w:r>
    </w:p>
    <w:p>
      <w:pPr>
        <w:sectPr>
          <w:pgSz w:w="11900" w:h="16838" w:orient="portrait"/>
          <w:cols w:equalWidth="0" w:num="1">
            <w:col w:w="11140"/>
          </w:cols>
          <w:pgMar w:left="320" w:top="482" w:right="439" w:bottom="1440" w:gutter="0" w:footer="0" w:header="0"/>
        </w:sectPr>
      </w:pP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Landstar Canada, Inc., is subject to Canadian income and other taxes. The Company’s wholly-owned Mexican subsidiaries, Landstar Holdings, S. de R.L.C.V. and Landstar Metro, S.A.P.I. de C.V., are subject to Mexican income and other taxes. The Company’s Canadian and Mexican subsidiaries also may each be subject to U.S. income and other taxes.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30, 2023 and December 31, 2022, the Company had $4,467,000 and $3,046,000, respectively, of net unrecognized tax benefits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representing the provision for the uncertainty of certain tax positions plus a component of interest and penalties. Estimated interest and penalties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the uncertainty of certain tax positions is included in income tax expense. At December 30, 2023 and December 31, 2022, there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$1,249,000 and $845,000, respectively, accrued for estimated interest and penalties related to the uncertainty of certain tax positions. The Company does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currently anticipate any significant increase or decrease to the unrecognized tax benefit during fiscal year 2024.</w:t>
      </w:r>
    </w:p>
    <w:p>
      <w:pPr>
        <w:spacing w:after="0" w:line="20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rollforward of the total amounts of gross unrecognized tax benefits for fiscal years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4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Years</w:t>
            </w:r>
          </w:p>
        </w:tc>
      </w:tr>
      <w:tr>
        <w:trPr>
          <w:trHeight w:val="142"/>
        </w:trPr>
        <w:tc>
          <w:tcPr>
            <w:tcW w:w="6920" w:type="dxa"/>
            <w:vAlign w:val="bottom"/>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unrecognized tax benefits – beginning of the year</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related to prior year tax positions</w:t>
            </w: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 end of the year</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5,454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3,726</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Landstar paid income taxes of $92,695,000 in fiscal year 2023, $158,715,000 in fiscal year 2022 and $104,844,000 in fiscal year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Operating Property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property is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 30, 2023</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 31, 2022</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71,157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69,160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Trailing equipment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491,208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502,322</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hardware and software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110,626</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10,136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9,828</w:t>
            </w: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property, gross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720,982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708,264</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436,682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393,274</w:t>
            </w: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property,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314,990</w:t>
            </w:r>
          </w:p>
        </w:tc>
        <w:tc>
          <w:tcPr>
            <w:tcW w:w="4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Included above is $143,542,000 in fiscal year 2023 and $185,609,000 in fiscal year 2022 of operating property under finance leases, $100,188,000 and $137,087,000, respectively, net of accumulated depreciation and amortization. Landstar acquired operating property by entering into finance leases in the amount of $4,093,000 in fiscal year 2023, $30,659,000 in fiscal year 2022 and $48,674,000 in fiscal year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Retirement Plan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Landstar sponsors an Internal Revenue Code section 401(k) defined contribution plan for the benefit of U.S. domiciled full-time employees who have completed three months of service. Eligible employees make voluntary contributions up to 75% of their base salary, subject to certain limitations. Landstar contributes an amount equal to 100% of the first 3% and 50% of the next 2% of such contributions, subject to certain limitations.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expense for the Company-sponsored defined contribution plan included in selling, general and administrative expense was $2,812,000 in fiscal year 2023, $2,716,000 in fiscal year 2022 and $2,374,000 in fiscal year 2021.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Other than the finance lease obligations as presented on the consolidated balance sheets, the Company had no outstanding debt as of December 30,</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December 31, 2022.</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1, 2022, Landstar entered into a second amended and restated credit agreement with a bank syndicate led by JPMorgan Chase Bank, N.A., as administrative agent (the “Credit Agreement”).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 As of December 30, 2023, the Company had no borrowings outstanding under the Credit Agreement.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loans under the Credit Agreement,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Landstar paid interest of $3,604,000 in fiscal year 2023, $4,151,000 in fiscal year 2022 and $3,715,000 in fiscal year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 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cost for finance leases and operating leases as of December 30, 2023 were (in thousands):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$20,258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cost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operating lease income</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3"/>
        </w:trPr>
        <w:tc>
          <w:tcPr>
            <w:tcW w:w="85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net lease cost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21,003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Total net operating lease income, net of rent expense under operating leases, was $2,121,000 and $1,632,000 in fiscal years 2022 and 2021,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lease classification on the Company’s consolidated balance sheet as of December 30, 2023 is as follows (in thousands):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w:t>
      </w:r>
    </w:p>
    <w:p>
      <w:pPr>
        <w:spacing w:after="0" w:line="27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5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100,188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54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101,883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finance and operating leases to the finance and operating lease liabilities recorded on the balance sheet at December 30, 2023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$29,739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23,554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(1.6% to 6.0%)</w:t>
            </w:r>
          </w:p>
        </w:tc>
        <w:tc>
          <w:tcPr>
            <w:tcW w:w="2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71,140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2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4"/>
                <w:szCs w:val="24"/>
                <w:color w:val="auto"/>
              </w:rPr>
            </w:pPr>
          </w:p>
        </w:tc>
        <w:tc>
          <w:tcPr>
            <w:tcW w:w="262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82"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finance and operating leases as of December 30, 2023 were: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0"/>
        </w:trPr>
        <w:tc>
          <w:tcPr>
            <w:tcW w:w="5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Share-Based Payment Arrangements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of December 30, 2023, the Company has an employee equity incentive plan, the 2011 equity incentive plan (the “2011 EIP”). The Company also has a stock compensation plan for members of its Board of Directors, the 2022 Directors Stock Compensation Plan (the “2022 DSCP”), which replaced the Amended and Restated 2013 Directors Stock Compensation Plan (as amended and restated, the “2013 DSCP”). The provisions of the 2022 DSCP are substantially similar to the provisions of the 2013 DSCP. 6,000,000 shares of the Company’s Common Stock were authorized for issuance under the 2011 EIP and 200,000 shares of the Company’s Common Stock were authorized for issuance under the 2022 DSCP. The 2011 EIP, 2013 DSCP and 2022 DSCP are each referred to herein as a “Plan,” and, collectively, as the “Plans.” Amounts recognized in the financial statements with respect to these Plans are as follows (in thousands):</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the Plans during the period</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Amount of related income tax benefit recognized during the period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(3,622)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(5,199)</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cost of the Plans during the period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7,200</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Included in income tax benefits recognized in the fiscal years ended December 30, 2023, December 31, 2022 and December 25, 2021 were excess tax benefits from stock-based awards of $2,830,000, $2,948,000 and $1,057,000, respectively.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30, 2023, there were 187,260 shares of the Company’s Common Stock reserved for issuance under the 2022 DSCP and 3,014,145 shares of the Company’s Common Stock reserved for issuance under the 2011 EIP.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restricted stock unit (“RSU”) awards with either a performance condition or a market condition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26, 2020</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183,213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46,342</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Shares earned in excess of target </w:t>
            </w:r>
            <w:r>
              <w:rPr>
                <w:rFonts w:ascii="Times New Roman" w:cs="Times New Roman" w:eastAsia="Times New Roman" w:hAnsi="Times New Roman"/>
                <w:sz w:val="22"/>
                <w:szCs w:val="22"/>
                <w:color w:val="auto"/>
                <w:vertAlign w:val="superscript"/>
              </w:rPr>
              <w:t>(1)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7,132</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 shares, including shares earned in excess of target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(24,600)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(2,688)</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25, 2021</w:t>
            </w: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209,399</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50,019</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139.44</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Shares earned in excess of target </w:t>
            </w:r>
            <w:r>
              <w:rPr>
                <w:rFonts w:ascii="Times New Roman" w:cs="Times New Roman" w:eastAsia="Times New Roman" w:hAnsi="Times New Roman"/>
                <w:sz w:val="22"/>
                <w:szCs w:val="22"/>
                <w:color w:val="auto"/>
                <w:vertAlign w:val="superscript"/>
              </w:rPr>
              <w:t>(2)</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91,497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shares, including shares earned in excess of target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(177,146)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(21,989)</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151,780</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41,638</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164.91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Shares earned in excess of target </w:t>
            </w:r>
            <w:r>
              <w:rPr>
                <w:rFonts w:ascii="Times New Roman" w:cs="Times New Roman" w:eastAsia="Times New Roman" w:hAnsi="Times New Roman"/>
                <w:sz w:val="22"/>
                <w:szCs w:val="22"/>
                <w:color w:val="auto"/>
                <w:vertAlign w:val="superscript"/>
              </w:rPr>
              <w:t>(3)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79,176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98.39</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 shares, including shares earned in excess of target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(137,861)</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(2,011)</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142.67</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30, 2023</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132,722</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138.93</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shares earned in excess of target under the May 1, 2015 RSU award as total shareholder return exceeded the target under the award.</w:t>
      </w:r>
    </w:p>
    <w:p>
      <w:pPr>
        <w:spacing w:after="0" w:line="1" w:lineRule="exact"/>
        <w:rPr>
          <w:rFonts w:ascii="Times New Roman" w:cs="Times New Roman" w:eastAsia="Times New Roman" w:hAnsi="Times New Roman"/>
          <w:sz w:val="22"/>
          <w:szCs w:val="22"/>
          <w:color w:val="auto"/>
          <w:vertAlign w:val="superscript"/>
        </w:rPr>
      </w:pPr>
    </w:p>
    <w:p>
      <w:pPr>
        <w:ind w:left="540" w:right="100" w:hanging="424"/>
        <w:spacing w:after="0" w:line="224" w:lineRule="auto"/>
        <w:tabs>
          <w:tab w:leader="none" w:pos="5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additional shares earned under each of the February 2, 2017, February 2, 2018 and February 1, 2019 RSU awards, as fiscal year 2021 financial results exceeded target performance level under each such award.</w:t>
      </w:r>
    </w:p>
    <w:p>
      <w:pPr>
        <w:spacing w:after="0" w:line="1" w:lineRule="exact"/>
        <w:rPr>
          <w:rFonts w:ascii="Times New Roman" w:cs="Times New Roman" w:eastAsia="Times New Roman" w:hAnsi="Times New Roman"/>
          <w:sz w:val="22"/>
          <w:szCs w:val="22"/>
          <w:color w:val="auto"/>
          <w:vertAlign w:val="superscript"/>
        </w:rPr>
      </w:pPr>
    </w:p>
    <w:p>
      <w:pPr>
        <w:ind w:left="540" w:hanging="424"/>
        <w:spacing w:after="0" w:line="233" w:lineRule="auto"/>
        <w:tabs>
          <w:tab w:leader="none" w:pos="5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additional shares earned (i) under the February 1, 2019 and January 31, 2020 RSU awards as fiscal year 2022 financial results exceeded target performance level and (ii) under the April 24, 2018 and July 1, 2019 RSU awards as total shareholder return during the applicable performance period exceeded target performance level under each of those awards.</w:t>
      </w:r>
    </w:p>
    <w:p>
      <w:pPr>
        <w:spacing w:after="0" w:line="198" w:lineRule="exact"/>
        <w:rPr>
          <w:rFonts w:ascii="Times New Roman" w:cs="Times New Roman" w:eastAsia="Times New Roman" w:hAnsi="Times New Roman"/>
          <w:sz w:val="22"/>
          <w:szCs w:val="22"/>
          <w:color w:val="auto"/>
          <w:vertAlign w:val="superscript"/>
        </w:rPr>
      </w:pPr>
    </w:p>
    <w:p>
      <w:pPr>
        <w:ind w:left="5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fiscal years 2021, 2022 and 2023, the Company granted RSUs with a performance condition.</w:t>
      </w:r>
    </w:p>
    <w:p>
      <w:pPr>
        <w:spacing w:after="0" w:line="225"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RSUs with a performance condition granted on February 3, 2023 may vest on January 31 of 2026, 2027 and 2028 based on growth in operating income and pre-tax income per diluted share from continuing operations as compared to the results from the 2022 fiscal year. RSUs with a performance condition granted on January 28, 2022 may vest on January 31 of 2025, 2026 and 2027 based on growth in operating income and pre-tax income per diluted share from continuing operations as compared to the results from the 2021 fiscal year. RSUs with a performance condition granted on January 29, 2021 may vest on January 31 of 2024, 2025 and 2026 based on growth in operating income and pre-tax income per diluted share from continuing operations as compared to the results from the 2020 fiscal year, adjusted to reflect the add back of non-cash impairment charges recorded in the Company’s 2020 fiscal year related to certain assets, primarily customer contract and related customer relationship intangible assets, held by the Company’s Mexican subsidiaries. At the time of grant, the target number of common shares available for issuance under the February 3, 2023, January 28, 2022 and January 29, 2021 grants equals 100% of the number of RSUs granted, and the maximum number of common shares available for issuance under the February 3, 2023, January 28, 2022 and January 29, 2021 grants equals 200% of the number of RSUs credited to the recipient. In the event actual results exceed the target, the number of shares that will be granted will exceed the number of RSUs granted. The fair value of an RSU with a performance condition was determined based on the market value of the Company’s Common Stock on the date of grant, discounted for lack of marketability for a minimum post-vesting holding requirement. The discount rate due to lack of marketability used for RSU award grants with a performance condition for all periods was 7%. With respect to RSU awards with a performance condition, the Company reports compensation expense over the life of the award based on an estimated number of units that will vest over the life of the award, multiplied by the fair value of an RSU at the time of grant.</w:t>
      </w:r>
    </w:p>
    <w:p>
      <w:pPr>
        <w:spacing w:after="0" w:line="19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recognized approximately $581,000, $9,100,000 and $24,197,000 of share-based compensation expense related to RSU awards in fiscal years 2023, 2022 and 2021, respectively. As of December 30, 2023, there was a maximum of $30.2 million of total unrecognized compensation cost related to RSU awards granted under the Plans with an expected average remaining life of approximately 3.2 years. With respect to RSU awards with a performance condition, the amount of future compensation expense to be recognized will be determined based on future operating results.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Non-vested Restricted Stock and Deferred Stock Units</w:t>
      </w:r>
    </w:p>
    <w:p>
      <w:pPr>
        <w:spacing w:after="0" w:line="11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2011 EIP provides the Compensation Committee of the Board of Directors with the authority to issue shares of Common Stock of the Company, subject to certain vesting and other restrictions on transfer (“restricted stock”).</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shares of non-vested restricted stock and Deferred Stock Units (defined below)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 and Deferred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26, 2020</w:t>
            </w:r>
          </w:p>
        </w:tc>
        <w:tc>
          <w:tcPr>
            <w:tcW w:w="18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60,440</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26,351</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(29,055)</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25, 2021</w:t>
            </w:r>
          </w:p>
        </w:tc>
        <w:tc>
          <w:tcPr>
            <w:tcW w:w="186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25,354</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(27,074)</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(6,921)</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86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138.30</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22,714</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(24,161)</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138.35</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30, 2023</w:t>
            </w:r>
          </w:p>
        </w:tc>
        <w:tc>
          <w:tcPr>
            <w:tcW w:w="18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46,348</w:t>
            </w:r>
          </w:p>
        </w:tc>
        <w:tc>
          <w:tcPr>
            <w:tcW w:w="420" w:type="dxa"/>
            <w:vAlign w:val="bottom"/>
          </w:tcPr>
          <w:p>
            <w:pPr>
              <w:spacing w:after="0"/>
              <w:rPr>
                <w:sz w:val="19"/>
                <w:szCs w:val="19"/>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158.38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57</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grant or the third, fourth and fifth anniversary of the date of the grant, or 100% on the first, third or fifth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recipient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December 30, 2023, there was $3,821,000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1.9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did not grant any stock options during its 2021, 2022 or 2023 fiscal years. Options outstanding under the Plans generally become exercisable in either five equal annual installments commencing on the first anniversary of the date of grant or 100% on the fifth anniversary from the date of grant, subject to acceleration in certain circumstances. All options granted under the Plans expire on the tenth anniversary of the date of grant. Under the Plans, the exercise price of each option equals the fair market value of the Company’s Common Stock on the date of grant.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 on its grant date was calculated using the Black-Scholes option pricing model. The Company utilized historical data, including exercise patterns and employee departure behavior, in estimating the term that options will be outstanding. Expected volatility was based on historical volatility and other factors, such as expected changes in volatility arising from planned changes to the Company’s business, if any. The risk-free interest rate was based on the yield of zero coupon U.S. Treasury bonds for terms that approximated the terms of the options granted.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stock options under the Plans: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94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98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58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26,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(9,080)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52.97</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25, 2021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8,570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55.42</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55.14</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31, 2022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56.40</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(1,900)</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56.40</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30,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intrinsic value of stock options exercised during fiscal years 2023, 2022 and 2021 was $218,000, $704,000 and $965,000, respectively.</w:t>
      </w:r>
    </w:p>
    <w:p>
      <w:pPr>
        <w:spacing w:after="0" w:line="225" w:lineRule="exact"/>
        <w:rPr>
          <w:sz w:val="20"/>
          <w:szCs w:val="20"/>
          <w:color w:val="auto"/>
        </w:rPr>
      </w:pPr>
    </w:p>
    <w:p>
      <w:pPr>
        <w:jc w:val="both"/>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of December 30, 2023, there was no unrecognized compensation cost related to non-vested stock options granted under the Plans and no outstanding options issued by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Stock Compensation Plan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Directors of the Company who are not employees of the Company (each an “Eligible Director”) are entitled under the 2022 DSCP to receive a grant of such number of restricted shares of the Company’s Common Stock or Deferred Stock Units equal to the quotient of $150,000 divided by the fair market value of a share of Common Stock on the date immediately following the date of each annual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meeting of the stockholders of the Company (an “Annual Meeting”). Each eligible Director was previously entitled under the 2013 DSCP to receive a grant of such number of restricted shares of the Company’s Common Stock or Deferred Stock Units equal to the quotient of $110,000 divided by the fair market value of a share of Common Stock on the date immediately following the date of each Annual Meeting. In fiscal year 2023, 5,957 restricted shares were granted to Eligible Directors. In fiscal year 2022, 7,063 restricted shares were granted to Eligible Directors. In fiscal year 2021, 3,804 restricted shares were granted to Eligible Directors. Restricted shares granted in 2021, 2022 and 2023 vest on the date of the next Annual Meeting. During fiscal years 2023, 2022 and 2021, $1,050,000, $964,000 and $669,000, respectively, of compensation cost was recorded for the grant of these restricted shares and Deferred Stock Units.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December 7, 2021, the Landstar System, Inc. Board of Directors authorized the Company to purchase up to 1,912,824 shares of the Company’s Common Stock from time to time in the open market and in privately negotiated transactions. 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December 30, 2023, the Company had authorization to purchase in the aggregate up to 3,000,000 shares of its Common Stock under these programs. No specific expiration date has been assigned to the December 7, 2021, December 6, 2022 or December 4, 2023 authorizations. During fiscal year 2023, Landstar purchased a total of 319,332 shares of its Common Stock at a total cost of $54,267,000 pursuant to its previously announced stock purchase program, including $53,919,000 in cash purchases and accrued excise tax of $348,000, which is included in other current liabilities in the consolidated balance sheet at December 30, 2023.</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2,000,000 shares of preferred stock authorized and unissued.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At December 30, 2023, in addition to the $77,054,000 letters of credit secured by investments, Landstar had $33,492,000 of letters of credit outstanding under the Company’s Credit Agreement.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$5.3 billion during the most recently completed fiscal year. The Company reports the results of two operating segments: the transportation logistics segment and the insurance segment.</w:t>
      </w:r>
    </w:p>
    <w:p>
      <w:pPr>
        <w:spacing w:after="0" w:line="19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integrated transportation management solutions. Transportation services offered by the Company include truckload,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In addition, the transportation logistics segment provides transportation services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The results of operations from Landstar Blue and Landstar Metro are presented as part of the Company’s transportation logistics segment.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Internal revenue for premiums billed by the insurance segment to the transportation logistics segment is calculated each fiscal period based primarily on an actuarial calculation of historical loss experience and is believed to approximate the cost that would have been incurred by the transportation logistics segment had similar insurance been obtained from an unrelated third party.</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a segment’s performance based on operating income.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consolidated revenue in fiscal years 2023, 2022 and 2021. Substantially all of the Company’s revenue is generated in North America, primarily through customers located in the United States.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information about the Company’s reportable business segments as of and for the fiscal years ending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30, 2023, December 31, 2022 and December 25, 2021 (in thousands):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860" w:type="dxa"/>
            <w:vAlign w:val="bottom"/>
            <w:gridSpan w:val="4"/>
          </w:tcPr>
          <w:p>
            <w:pPr>
              <w:ind w:left="170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4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40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8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5,230,846</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$5,303,322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debt (income) expense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additions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338,610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8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7,358,008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additions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227,322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8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6,465,711</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$6,537,568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on long-lived assets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additions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308,611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100"/>
          </w:cols>
          <w:pgMar w:left="320" w:top="482" w:right="479" w:bottom="1440" w:gutter="0" w:footer="0" w:header="0"/>
        </w:sect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Change in Accounting Estimate for Self-Insured Claims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adverse effect of the increase in the cost of insurance claims resulting from unfavorable development of prior year self-insured claims estimates on operating income, net income and earnings per share set forth in the consolidated statements of income for the fiscal years ended December 30, 2023, December 31, 2022 and December 25, 2021 (in thousands, except per share amounts):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0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0" w:type="dxa"/>
            <w:vAlign w:val="bottom"/>
            <w:gridSpan w:val="4"/>
          </w:tcPr>
          <w:p>
            <w:pPr>
              <w:jc w:val="cente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3"/>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60" w:type="dxa"/>
            <w:vAlign w:val="bottom"/>
          </w:tcPr>
          <w:p>
            <w:pPr>
              <w:spacing w:after="0"/>
              <w:rPr>
                <w:sz w:val="10"/>
                <w:szCs w:val="10"/>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3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6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unfavorable development of prior years’ claims in the fiscal year ended December 30, 2023 was primarily attributable to several specific claims. The unfavorable development of prior years’ claims in the fiscal year ended December 31, 2022 was primarily attributable to several specific claims. The unfavorable development of prior years’ claims in the fiscal year ended December 25, 2021 was primarily attributable to five claims.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Equity investment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April 1, 2022, Landstar Investment Holdco, LLC, a newly formed Delaware LLC and wholly 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This non-controlling investment in units of Cavnue, LLC, is considered an investment in non-marketable equity securities without a readily determinable market value. The carrying value of our non-marketable equity securities going forward will be adjusted to fair value upon observable transactions for identical or similar investments of the same issuer or impairment (referred to as the measurement alternative).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Recent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annual periods beginning after December 15, 2023. The Company is currently evaluating the impact of ASU 2023-07 on its consolidated financial statements and related disclosures.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which expands disclosures in an entity’s income tax rate reconciliation table and regarding cash taxes paid both in the U.S. and foreign jurisdictions. ASU</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2023-09 is effective for annual periods beginning after December 15, 2024. ASU 2023-09 is not expected to have a material impact on the Company’s consolidated financial statements and related disclosures.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Landstar System, Inc. and subsidiary (the Company) as of December 30, 2023 and December 31, 2022, the related consolidated statements of income, comprehensive income, changes in shareholders’ equity, and cash flows for each of the fiscal years in the three-year period ended December 30, 2023, and the related notes (collectively, the consolidated financial statements). In our opinion, the consolidated financial statements present fairly, in all material respects, the financial position of the Company as of December 30, 2023 and December 31, 2022, and the results of its operations and its cash flows for each of the fiscal years in the three-year period ended December 30, 2023, in conformity with U.S. generally accepted accounting principles.</w:t>
      </w:r>
    </w:p>
    <w:p>
      <w:pPr>
        <w:spacing w:after="0" w:line="187"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30, 2023, based on criteria established in </w:t>
      </w:r>
      <w:r>
        <w:rPr>
          <w:rFonts w:ascii="Times New Roman" w:cs="Times New Roman" w:eastAsia="Times New Roman" w:hAnsi="Times New Roman"/>
          <w:sz w:val="17"/>
          <w:szCs w:val="17"/>
          <w:i w:val="1"/>
          <w:iCs w:val="1"/>
          <w:color w:val="auto"/>
        </w:rPr>
        <w:t>Internal Control – Integrated Framework</w:t>
      </w:r>
    </w:p>
    <w:p>
      <w:pPr>
        <w:spacing w:after="0" w:line="1" w:lineRule="exact"/>
        <w:rPr>
          <w:sz w:val="20"/>
          <w:szCs w:val="20"/>
          <w:color w:val="auto"/>
        </w:rPr>
      </w:pPr>
    </w:p>
    <w:p>
      <w:pPr>
        <w:ind w:left="120" w:right="48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February 23, 2024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effectiveness of the Company’s internal control over financial reporting.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Self-insurance claims liability</w:t>
      </w:r>
    </w:p>
    <w:p>
      <w:pPr>
        <w:spacing w:after="0" w:line="119"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liability for insurance claims includes the actuarially determined estimated costs of cargo, property, casualty, general liability, and workers’ compensation claims, both reported and for claims incurred but not reported, up to the Company’s retained amount per claim, which is referred to as the self-insurance claims liability. The Company’s estimated costs of insurance claims include assumptions regarding the frequency and severity of claims and are based upon the facts and circumstances known as of the applicable balance sheet date. The Company’s liability for insurance claims as of December 30, 2023 was $100,747,000, which includes the self-insurance claims liability.</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82"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right="280"/>
        <w:spacing w:after="0" w:line="258" w:lineRule="auto"/>
        <w:rPr>
          <w:sz w:val="20"/>
          <w:szCs w:val="20"/>
          <w:color w:val="auto"/>
        </w:rPr>
      </w:pPr>
      <w:r>
        <w:rPr>
          <w:rFonts w:ascii="Times New Roman" w:cs="Times New Roman" w:eastAsia="Times New Roman" w:hAnsi="Times New Roman"/>
          <w:sz w:val="18"/>
          <w:szCs w:val="18"/>
          <w:color w:val="auto"/>
        </w:rPr>
        <w:t>We identified the evaluation of the self-insurance claims liability as a critical audit matter. Specialized skills were needed to evaluate the Company’s estimate of the self-insurance claims liability. This evaluation included assumptions related to the potential for the development in future periods of claims both reported and incurred but not reported as of the balance sheet date and the impact of those developments on the estimated liability associated with such claims. In addition, a higher degree of subjective auditor judgment was required to evaluate the Company’s estimate of the self-insurance claims liability due to the inherent uncertainty in the frequency and severity of claims.</w:t>
      </w:r>
    </w:p>
    <w:p>
      <w:pPr>
        <w:spacing w:after="0" w:line="75"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self-insurance claims process, including a control related to the development of the assumptions used to estimate the self-insurance claims liability. We involved actuarial professionals with specialized skills and knowledge, who assisted in assessing the actuarial model used by the Company, including the external actuarial report obtained by the Company, to estimate the self-insurance claims liability for consistency with generally accepted actuarial standards. The actuarial professionals also developed an estimate of the range of the self-insurance claims liability using the Company’s historical claims data. We compared the estimated range of the self-insurance claims liability to the amount recorded by the Company. We tested a sample of the claims data used in the actuarial model by comparing the data to underlying claims details. For certain claims, we obtained letters received directly from the Company’s external legal counsel to evaluate the liability recorded. Additionally, we assessed the development of the self-insurance claims liability in the current year compared to recent historical trends and considered the implications on the current year assumptions. We also assessed facts and circumstances received by the Company after the balance sheet date, but before the consolidated financial statements were issued, and the impact, if any, of such facts and circumstances on the self-insurance claims liability.</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1988.</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82"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an evaluation was carried out, under the supervision and with the participation of the Company’s management, including the Chief Executive Officer (“CEO”) and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December 30, 2023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Management’s Report on Internal Control over Financial Reporting</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Management of Landstar System, Inc. (the “Company”) is responsible for establishing and maintaining effective internal control over financial reporting, as such term is defined in Rules 13a-15(f) and 15d-15(f) under the Securities Exchange Act, as amended.</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Company’s financial statements.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Company’s principal executive officer and principal financial officer, assessed the effectiveness of the Company’s internal control over financial reporting as of December 30, 2023. This assessment was performed using the criteria established under the Internal Control-Integrated Framework (2013) established by the Committee of Sponsoring Organizations of the Treadway Commission (COSO).</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including the possibility of human error or circumvention or overriding of internal control. Accordingly, even effective internal control over financial reporting can provide only reasonable assurance with respect to financial statement preparation and reporting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Based on the assessment performed using the criteria established by COSO, management has concluded that the Company maintained effective internal control over financial reporting as of December 30,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KPMG LLP (PCAOB ID: 185), the independent registered public accounting firm that audited the financial statements included in this Annual Report on Form 10-K for the fiscal year ended December 30, 2023, has issued an audit report on the effectiveness of the Company’s internal control over financial reporting. Such report appears immediately below.</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Attestation Report of the Registered Public Accounting Firm</w:t>
      </w:r>
    </w:p>
    <w:p>
      <w:pPr>
        <w:spacing w:after="0" w:line="1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840"/>
          </w:cols>
          <w:pgMar w:left="320" w:top="482" w:right="7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Landstar System, Inc. and subsidiary’s (the Company) internal control over financial reporting as of December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30, 2023 and December 31, 2022, the related consolidated statements of income, comprehensive income, changes in shareholders’ equity, and cash flows for each of the fiscal years in the three-year period ended December 30, 2023, and the related notes (collectively, the consolidated financial statements), and our report dated February 23, 2024 expressed an unqualified opinion on those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82"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Changes in Internal Control Over Financial Reporting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Company’s fourth fiscal quarter that have materially affected, or are reasonably likely to materially affect, the Company’s internal control over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30, 2023, none of our directors or executive officers adopted or terminated any contract, instruction or written plan for the purchase or sale of Landstar’s securities that was intended to satisfy the affirmative defense conditions of Rule 10b5-1(c) or any “non-Rule 10b5-1 trading arrangement.”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320" w:top="482" w:right="5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concerning the Directors (and nominees for Directors) and Executive Officers of the Company will be set forth under the captions “Election of Directors,” “Directors of the Company,” “Information Regarding Board of Directors and Committees,” and “Executive Officers of the Company” and “Section 16(a) Beneficial Ownership Reporting Compliance” in the Company’s definitive Proxy Statement for its annual meeting of stockholders to be filed with the Securities and Exchange Commission pursuant to Regulation 14A, and is incorporated herein by reference. The information required by this Item concerning the Company’s Audit Committee and the Audit Committee’s Financial Expert will be set forth under the caption “Information Regarding Board of Directors and Committees” and “Report of the Audit Committee” in the Company’s definitive Proxy Statement for its annual meeting of stockholders to be filed with the Securities and Exchange Commission pursuant to Regulation 14A, and is incorporated herein by reference.</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Code of Ethics and Business Conduct that applies to each of its directors and employees, including its principal executive officer, principal financial officer, controller and all other employees performing similar functions. The Code of Ethics and Business Conduct is available on the Company’s website at </w:t>
      </w:r>
      <w:r>
        <w:rPr>
          <w:rFonts w:ascii="Times New Roman" w:cs="Times New Roman" w:eastAsia="Times New Roman" w:hAnsi="Times New Roman"/>
          <w:sz w:val="18"/>
          <w:szCs w:val="18"/>
          <w:i w:val="1"/>
          <w:iCs w:val="1"/>
          <w:color w:val="auto"/>
        </w:rPr>
        <w:t>www.landstar.com</w:t>
      </w:r>
      <w:r>
        <w:rPr>
          <w:rFonts w:ascii="Times New Roman" w:cs="Times New Roman" w:eastAsia="Times New Roman" w:hAnsi="Times New Roman"/>
          <w:sz w:val="18"/>
          <w:szCs w:val="18"/>
          <w:color w:val="auto"/>
        </w:rPr>
        <w:t xml:space="preserve"> under “Investor Relations — Corporate Governance.” The Company intends to satisfy the disclosure requirement under Item 5.05 of Form 8-K regarding amendments to, or waivers from, a provision or provisions of the Code of Ethics and Business Conduct by posting such information on its website at the web address indicated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“Compensation Committee Interlocks and Insider Participation,” “Compensation of Directors,” “Compensation of Named Executives,” “Compensation Discussion and Analysis,” “Summary Compensation Table,” “Pay Versus Performance Table,” “Grants of Plan-Based Awards,” “Stock Vested,” “Outstanding Equity Awards at Fiscal Year End,” “Nonqualified Deferred Compensation,” “Compensation Committee Report” and “Key Executive Employment Protection Agreements” in the Company’s definitive Proxy Statement for its annual meeting of stockholders to be filed with the Securities and Exchange Commission pursuant to Regulation 14A, and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ind w:right="12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pursuant to Item 201(d) of Regulation S-K is set forth under the caption “Market for Registrants Common Equity, Related Stockholder Matters and Issuer Purchases of Equity Securities” in Part II, Item 5 of this report, and is incorporated herein by reference.</w:t>
      </w:r>
    </w:p>
    <w:p>
      <w:pPr>
        <w:spacing w:after="0" w:line="140"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pursuant to Item 403 of Regulation S-K will be set forth under the caption “Security Ownership by Management and Others” in the Company’s definitive Proxy Statement for its annual meeting of stockholders to be filed with the Securities and Exchange Commission pursuant to Regulation 14A,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None, other than information required to be disclosed under this item in regard to Director Independence, which will be set forth under the caption “Independent Directors” in the Company’s definitive Proxy Statement for its annual meeting of stockholders to be filed with the Securities and Exchange Commission pursuant to Regulation 14A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“Report of the Audit Committee” and “Ratification of Appointment of Independent Registered Public Accounting Firm” in the Company’s definitive Proxy Statement for its annual meeting of stockholders to be filed with the Securities and Exchange Commission pursuant to Regulation 14A, and is incorporated herein by reference.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93" w:right="459" w:bottom="1440" w:gutter="0" w:footer="0" w:header="0"/>
        </w:sectPr>
      </w:pPr>
    </w:p>
    <w:bookmarkStart w:id="68" w:name="page69"/>
    <w:bookmarkEnd w:id="6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IV</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9" w:lineRule="exact"/>
        <w:rPr>
          <w:sz w:val="20"/>
          <w:szCs w:val="20"/>
          <w:color w:val="auto"/>
        </w:rPr>
      </w:pPr>
    </w:p>
    <w:p>
      <w:pPr>
        <w:ind w:left="684" w:hanging="244"/>
        <w:spacing w:after="0"/>
        <w:tabs>
          <w:tab w:leader="none" w:pos="6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 and Supplementary Data</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06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660" w:type="dxa"/>
            <w:vAlign w:val="bottom"/>
            <w:gridSpan w:val="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w:t>
            </w:r>
          </w:p>
        </w:tc>
        <w:tc>
          <w:tcPr>
            <w:tcW w:w="8100" w:type="dxa"/>
            <w:vAlign w:val="bottom"/>
            <w:gridSpan w:val="6"/>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w:t>
            </w:r>
          </w:p>
        </w:tc>
        <w:tc>
          <w:tcPr>
            <w:tcW w:w="69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0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Shareholders’ Equity</w:t>
            </w:r>
          </w:p>
        </w:tc>
        <w:tc>
          <w:tcPr>
            <w:tcW w:w="62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140" w:type="dxa"/>
            <w:vAlign w:val="bottom"/>
            <w:gridSpan w:val="5"/>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58"/>
        </w:trPr>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w:t>
            </w:r>
          </w:p>
        </w:tc>
        <w:tc>
          <w:tcPr>
            <w:tcW w:w="9860" w:type="dxa"/>
            <w:vAlign w:val="bottom"/>
            <w:gridSpan w:val="8"/>
          </w:tcPr>
          <w:p>
            <w:pPr>
              <w:ind w:left="160"/>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 required information is included in the consolidated financial statements or the notes thereto, or is not applicable or required.</w:t>
      </w:r>
    </w:p>
    <w:p>
      <w:pPr>
        <w:spacing w:after="0" w:line="187" w:lineRule="exact"/>
        <w:rPr>
          <w:sz w:val="20"/>
          <w:szCs w:val="20"/>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44"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2" w:lineRule="exact"/>
        <w:rPr>
          <w:sz w:val="20"/>
          <w:szCs w:val="20"/>
          <w:color w:val="auto"/>
        </w:rPr>
      </w:pPr>
    </w:p>
    <w:p>
      <w:pPr>
        <w:ind w:left="884" w:hanging="884"/>
        <w:spacing w:after="0"/>
        <w:tabs>
          <w:tab w:leader="none" w:pos="8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1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3.1</w:t>
            </w:r>
          </w:p>
        </w:tc>
        <w:tc>
          <w:tcPr>
            <w:tcW w:w="96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Restated Certificate of Incorporation of the Company dated May 10, 2023, including Certificate of Designation of Junior Participating</w:t>
              </w:r>
            </w:hyperlink>
          </w:p>
        </w:tc>
        <w:tc>
          <w:tcPr>
            <w:tcW w:w="3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Preferred Stock dated February 10, 1993. (Incorporated by reference to Exhibit 3.1 to the Registrant’s Current Report on Form 8-K filed on</w:t>
              </w:r>
            </w:hyperlink>
          </w:p>
        </w:tc>
      </w:tr>
      <w:tr>
        <w:trPr>
          <w:trHeight w:val="196"/>
        </w:trPr>
        <w:tc>
          <w:tcPr>
            <w:tcW w:w="8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May 11, 2023 (Commission File No. 0-21238))</w:t>
              </w:r>
            </w:hyperlink>
          </w:p>
        </w:tc>
        <w:tc>
          <w:tcPr>
            <w:tcW w:w="6620" w:type="dxa"/>
            <w:vAlign w:val="bottom"/>
            <w:gridSpan w:val="4"/>
          </w:tcPr>
          <w:p>
            <w:pPr>
              <w:spacing w:after="0"/>
              <w:rPr>
                <w:sz w:val="17"/>
                <w:szCs w:val="17"/>
                <w:color w:val="auto"/>
              </w:rPr>
            </w:pPr>
          </w:p>
        </w:tc>
      </w:tr>
      <w:tr>
        <w:trPr>
          <w:trHeight w:val="304"/>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3.2</w:t>
            </w:r>
          </w:p>
        </w:tc>
        <w:tc>
          <w:tcPr>
            <w:tcW w:w="10040" w:type="dxa"/>
            <w:vAlign w:val="bottom"/>
            <w:gridSpan w:val="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The Company’s Second Amended and Restated Bylaws, as further adopted as of November 2, 2023. (Incorporated by reference to Exhibit</w:t>
              </w:r>
            </w:hyperlink>
          </w:p>
        </w:tc>
      </w:tr>
      <w:tr>
        <w:trPr>
          <w:trHeight w:val="196"/>
        </w:trPr>
        <w:tc>
          <w:tcPr>
            <w:tcW w:w="88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10-Q filed on November 3, 2023 (Commission File No. 0-21238))</w:t>
              </w:r>
            </w:hyperlink>
          </w:p>
        </w:tc>
        <w:tc>
          <w:tcPr>
            <w:tcW w:w="176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r>
    </w:tbl>
    <w:p>
      <w:pPr>
        <w:spacing w:after="0" w:line="113" w:lineRule="exact"/>
        <w:rPr>
          <w:sz w:val="20"/>
          <w:szCs w:val="20"/>
          <w:color w:val="auto"/>
        </w:rPr>
      </w:pPr>
    </w:p>
    <w:p>
      <w:pPr>
        <w:ind w:left="884" w:hanging="884"/>
        <w:spacing w:after="0"/>
        <w:tabs>
          <w:tab w:leader="none" w:pos="8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 P</w:t>
            </w: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Specimen of Common Stock Certificate. (Incorporated by reference to Exhibit 4.1 to the Registrant’s Registration Statement on Form S-1</w:t>
            </w:r>
          </w:p>
        </w:tc>
      </w:tr>
      <w:tr>
        <w:trPr>
          <w:trHeight w:val="234"/>
        </w:trPr>
        <w:tc>
          <w:tcPr>
            <w:tcW w:w="88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No. 33-57174))</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920" w:type="dxa"/>
            <w:vAlign w:val="bottom"/>
            <w:gridSpan w:val="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Description of Securities (Incorporated by reference to Exhibit 4.4 to the Registrant’s Annual Report on Form 10-K for fiscal year ended</w:t>
              </w:r>
            </w:hyperlink>
          </w:p>
        </w:tc>
      </w:tr>
      <w:tr>
        <w:trPr>
          <w:trHeight w:val="196"/>
        </w:trPr>
        <w:tc>
          <w:tcPr>
            <w:tcW w:w="880" w:type="dxa"/>
            <w:vAlign w:val="bottom"/>
          </w:tcPr>
          <w:p>
            <w:pPr>
              <w:spacing w:after="0"/>
              <w:rPr>
                <w:sz w:val="17"/>
                <w:szCs w:val="17"/>
                <w:color w:val="auto"/>
              </w:rPr>
            </w:pPr>
          </w:p>
        </w:tc>
        <w:tc>
          <w:tcPr>
            <w:tcW w:w="38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December 28, 2019 (Commission File No. 0-21238))</w:t>
              </w:r>
            </w:hyperlink>
          </w:p>
        </w:tc>
        <w:tc>
          <w:tcPr>
            <w:tcW w:w="60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13" w:lineRule="exact"/>
        <w:rPr>
          <w:sz w:val="20"/>
          <w:szCs w:val="20"/>
          <w:color w:val="auto"/>
        </w:rPr>
      </w:pPr>
    </w:p>
    <w:p>
      <w:pPr>
        <w:ind w:left="884" w:hanging="884"/>
        <w:spacing w:after="0"/>
        <w:tabs>
          <w:tab w:leader="none" w:pos="8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884" w:right="80" w:hanging="890"/>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90">
        <w:r>
          <w:rPr>
            <w:rFonts w:ascii="Times New Roman" w:cs="Times New Roman" w:eastAsia="Times New Roman" w:hAnsi="Times New Roman"/>
            <w:sz w:val="18"/>
            <w:szCs w:val="18"/>
            <w:u w:val="single" w:color="auto"/>
            <w:color w:val="0000EE"/>
          </w:rPr>
          <w:t>Second Amended and Restated Credit Agreement, dated as of July 1, 2022, among Landstar System Holdings, Inc., the Company, the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lenders named therein, and JPMorgan Chase Bank, N.A. as Administrative Agent (including exhibits and schedules thereto). (Incorporated</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by reference to Exhibit 10.1 to the Registrant’s Form 8-K filed on July 8, 2022 (Commission File No. 0-21238))</w:t>
        </w:r>
      </w:hyperlink>
    </w:p>
    <w:p>
      <w:pPr>
        <w:spacing w:after="0" w:line="68" w:lineRule="exact"/>
        <w:rPr>
          <w:rFonts w:ascii="Times New Roman" w:cs="Times New Roman" w:eastAsia="Times New Roman" w:hAnsi="Times New Roman"/>
          <w:sz w:val="18"/>
          <w:szCs w:val="18"/>
          <w:u w:val="single" w:color="auto"/>
          <w:color w:val="0000EE"/>
        </w:rPr>
      </w:pPr>
    </w:p>
    <w:p>
      <w:pPr>
        <w:ind w:left="884" w:right="120" w:hanging="890"/>
        <w:spacing w:after="0" w:line="261"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1">
        <w:r>
          <w:rPr>
            <w:rFonts w:ascii="Times New Roman" w:cs="Times New Roman" w:eastAsia="Times New Roman" w:hAnsi="Times New Roman"/>
            <w:sz w:val="18"/>
            <w:szCs w:val="18"/>
            <w:u w:val="single" w:color="auto"/>
            <w:color w:val="0000EE"/>
          </w:rPr>
          <w:t>Landstar System, Inc. Supplemental Executive Retirement Plan, as amended and restated as of January 1, 2015 (Incorporated by reference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to Exhibit 10.2 to the Registrant’s Annual Report on Form 10-K for the fiscal year ended December 27, 2014 (Commission File</w:t>
        </w:r>
      </w:hyperlink>
    </w:p>
    <w:p>
      <w:pPr>
        <w:ind w:left="884"/>
        <w:spacing w:after="0"/>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No. 0-21238))</w:t>
        </w:r>
      </w:hyperlink>
    </w:p>
    <w:p>
      <w:pPr>
        <w:spacing w:after="0" w:line="99" w:lineRule="exact"/>
        <w:rPr>
          <w:sz w:val="20"/>
          <w:szCs w:val="20"/>
          <w:color w:val="auto"/>
        </w:rPr>
      </w:pPr>
    </w:p>
    <w:p>
      <w:pPr>
        <w:ind w:left="884" w:right="180" w:hanging="890"/>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92">
        <w:r>
          <w:rPr>
            <w:rFonts w:ascii="Times New Roman" w:cs="Times New Roman" w:eastAsia="Times New Roman" w:hAnsi="Times New Roman"/>
            <w:sz w:val="18"/>
            <w:szCs w:val="18"/>
            <w:u w:val="single" w:color="auto"/>
            <w:color w:val="0000EE"/>
          </w:rPr>
          <w:t>First Amendment, dated as of November 1, 2018, to the Landstar System, Inc. Supplemental Executive Retirement Plan (as amended and</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restated as of January 1, 2015) (Incorporated by reference to Exhibit 10.3 to the Registrant’s Annual Report on Form 10-K for the fiscal</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year ended December 29, 2018 (Commission File No. 0-21238))</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4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4"/>
          </w:cols>
          <w:pgMar w:left="436" w:top="293" w:right="499" w:bottom="1440" w:gutter="0" w:footer="0" w:header="0"/>
        </w:sectPr>
      </w:pPr>
    </w:p>
    <w:bookmarkStart w:id="69" w:name="page70"/>
    <w:bookmarkEnd w:id="69"/>
    <w:p>
      <w:pPr>
        <w:ind w:left="904" w:right="20" w:hanging="903"/>
        <w:spacing w:after="0" w:line="282" w:lineRule="auto"/>
        <w:tabs>
          <w:tab w:leader="none" w:pos="8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10.4+</w:t>
      </w:r>
      <w:r>
        <w:rPr>
          <w:sz w:val="20"/>
          <w:szCs w:val="20"/>
          <w:color w:val="auto"/>
        </w:rPr>
        <w:tab/>
      </w:r>
      <w:hyperlink r:id="rId94">
        <w:r>
          <w:rPr>
            <w:rFonts w:ascii="Times New Roman" w:cs="Times New Roman" w:eastAsia="Times New Roman" w:hAnsi="Times New Roman"/>
            <w:sz w:val="18"/>
            <w:szCs w:val="18"/>
            <w:u w:val="single" w:color="auto"/>
            <w:color w:val="0000EE"/>
          </w:rPr>
          <w:t>Landstar System, Inc. 2011 Equity Incentive Plan, as amended through November 2, 2023.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Registrant’s Current Report on Form 10-Q filed on November 3, 2023 (Commission File No. 0-21238))</w:t>
        </w:r>
      </w:hyperlink>
    </w:p>
    <w:p>
      <w:pPr>
        <w:spacing w:after="0" w:line="54" w:lineRule="exact"/>
        <w:rPr>
          <w:sz w:val="20"/>
          <w:szCs w:val="20"/>
          <w:color w:val="auto"/>
        </w:rPr>
      </w:pPr>
    </w:p>
    <w:p>
      <w:pPr>
        <w:ind w:left="904" w:right="300" w:hanging="903"/>
        <w:spacing w:after="0" w:line="282" w:lineRule="auto"/>
        <w:tabs>
          <w:tab w:leader="none" w:pos="8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5">
        <w:r>
          <w:rPr>
            <w:rFonts w:ascii="Times New Roman" w:cs="Times New Roman" w:eastAsia="Times New Roman" w:hAnsi="Times New Roman"/>
            <w:sz w:val="18"/>
            <w:szCs w:val="18"/>
            <w:u w:val="single" w:color="auto"/>
            <w:color w:val="0000EE"/>
          </w:rPr>
          <w:t>Landstar System, Inc. 2022 Directors Stock Compensation Plan (Incorporated by reference to Appendix A to the Registrant’s Definitive</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Proxy Statement filed on March 29, 2022 (Commission File No. 0-21238))</w:t>
        </w:r>
      </w:hyperlink>
    </w:p>
    <w:p>
      <w:pPr>
        <w:spacing w:after="0" w:line="54" w:lineRule="exact"/>
        <w:rPr>
          <w:sz w:val="20"/>
          <w:szCs w:val="20"/>
          <w:color w:val="auto"/>
        </w:rPr>
      </w:pPr>
    </w:p>
    <w:p>
      <w:pPr>
        <w:ind w:left="904" w:right="80" w:hanging="903"/>
        <w:spacing w:after="0" w:line="266" w:lineRule="auto"/>
        <w:tabs>
          <w:tab w:leader="none" w:pos="8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6">
        <w:r>
          <w:rPr>
            <w:rFonts w:ascii="Times New Roman" w:cs="Times New Roman" w:eastAsia="Times New Roman" w:hAnsi="Times New Roman"/>
            <w:sz w:val="18"/>
            <w:szCs w:val="18"/>
            <w:u w:val="single" w:color="auto"/>
            <w:color w:val="0000EE"/>
          </w:rPr>
          <w:t>Form of Indemnification Agreement between the Company and each of the directors and Executive Officers of the Company (Incorporated</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by reference to Exhibit 10.2 to the Registrant’s Annual Report on Form 10-K for the fiscal year ended December 27, 2003 (Commission</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File No. 0-21238))</w:t>
        </w:r>
      </w:hyperlink>
    </w:p>
    <w:p>
      <w:pPr>
        <w:spacing w:after="0" w:line="68" w:lineRule="exact"/>
        <w:rPr>
          <w:rFonts w:ascii="Times New Roman" w:cs="Times New Roman" w:eastAsia="Times New Roman" w:hAnsi="Times New Roman"/>
          <w:sz w:val="18"/>
          <w:szCs w:val="18"/>
          <w:u w:val="single" w:color="auto"/>
          <w:color w:val="0000EE"/>
        </w:rPr>
      </w:pPr>
    </w:p>
    <w:p>
      <w:pPr>
        <w:ind w:left="904" w:right="100" w:hanging="903"/>
        <w:spacing w:after="0" w:line="266" w:lineRule="auto"/>
        <w:tabs>
          <w:tab w:leader="none" w:pos="8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97">
        <w:r>
          <w:rPr>
            <w:rFonts w:ascii="Times New Roman" w:cs="Times New Roman" w:eastAsia="Times New Roman" w:hAnsi="Times New Roman"/>
            <w:sz w:val="18"/>
            <w:szCs w:val="18"/>
            <w:u w:val="single" w:color="auto"/>
            <w:color w:val="0000EE"/>
          </w:rPr>
          <w:t>Form of Key Executive Employment Protection Agreement between Landstar System, Inc. and each of the Executive Officers of the</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Company, in the form as amended as of December 26, 2015, (Incorporated by reference to Exhibit 10.12 to the Registrant’s Annual Report</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on Form 10-K for fiscal year ended December 26, 2015 (Commission File No. 0-21238))</w:t>
        </w:r>
      </w:hyperlink>
    </w:p>
    <w:p>
      <w:pPr>
        <w:spacing w:after="0" w:line="68" w:lineRule="exact"/>
        <w:rPr>
          <w:rFonts w:ascii="Times New Roman" w:cs="Times New Roman" w:eastAsia="Times New Roman" w:hAnsi="Times New Roman"/>
          <w:sz w:val="18"/>
          <w:szCs w:val="18"/>
          <w:u w:val="single" w:color="auto"/>
          <w:color w:val="0000EE"/>
        </w:rPr>
      </w:pPr>
    </w:p>
    <w:p>
      <w:pPr>
        <w:jc w:val="center"/>
        <w:ind w:right="356"/>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10.8+     </w:t>
      </w:r>
      <w:hyperlink r:id="rId98">
        <w:r>
          <w:rPr>
            <w:rFonts w:ascii="Times New Roman" w:cs="Times New Roman" w:eastAsia="Times New Roman" w:hAnsi="Times New Roman"/>
            <w:sz w:val="18"/>
            <w:szCs w:val="18"/>
            <w:u w:val="single" w:color="auto"/>
            <w:color w:val="0000EE"/>
          </w:rPr>
          <w:t>Letter Agreement, dated February 27, 2023, by and between Landstar System, Inc. and Robert S. Brasher (Incorporated by reference to</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Exhibit 99.1 to the Registrant’s Current Report on Form 8-K filed on February 28, 2023 (Commission File No. 0-21238))</w:t>
        </w:r>
      </w:hyperlink>
    </w:p>
    <w:p>
      <w:pPr>
        <w:spacing w:after="0" w:line="54" w:lineRule="exact"/>
        <w:rPr>
          <w:sz w:val="20"/>
          <w:szCs w:val="20"/>
          <w:color w:val="auto"/>
        </w:rPr>
      </w:pPr>
    </w:p>
    <w:p>
      <w:pPr>
        <w:ind w:left="904" w:hanging="903"/>
        <w:spacing w:after="0" w:line="282" w:lineRule="auto"/>
        <w:tabs>
          <w:tab w:leader="none" w:pos="8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9">
        <w:r>
          <w:rPr>
            <w:rFonts w:ascii="Times New Roman" w:cs="Times New Roman" w:eastAsia="Times New Roman" w:hAnsi="Times New Roman"/>
            <w:sz w:val="18"/>
            <w:szCs w:val="18"/>
            <w:u w:val="single" w:color="auto"/>
            <w:color w:val="0000EE"/>
          </w:rPr>
          <w:t>Letter Agreement, dated December 4, 2023, between Landstar System, Inc. and James B. Gattoni (Incorporated by reference to Exhibit 99.1</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to the Registrant’s Current Report on Form 8-K filed on December 5, 2023 (Commission File No. 0-21238))</w:t>
        </w:r>
      </w:hyperlink>
    </w:p>
    <w:p>
      <w:pPr>
        <w:spacing w:after="0" w:line="54" w:lineRule="exact"/>
        <w:rPr>
          <w:sz w:val="20"/>
          <w:szCs w:val="20"/>
          <w:color w:val="auto"/>
        </w:rPr>
      </w:pPr>
    </w:p>
    <w:p>
      <w:pPr>
        <w:ind w:left="4"/>
        <w:spacing w:after="0"/>
        <w:tabs>
          <w:tab w:leader="none" w:pos="88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00">
        <w:r>
          <w:rPr>
            <w:rFonts w:ascii="Times New Roman" w:cs="Times New Roman" w:eastAsia="Times New Roman" w:hAnsi="Times New Roman"/>
            <w:sz w:val="18"/>
            <w:szCs w:val="18"/>
            <w:u w:val="single" w:color="auto"/>
            <w:color w:val="0000EE"/>
          </w:rPr>
          <w:t>Letter Agreement, dated December 4, 2023, between Landstar System, Inc. and Frank A. Lonegro (Incorporated by reference to Exhibit</w:t>
        </w:r>
      </w:hyperlink>
    </w:p>
    <w:p>
      <w:pPr>
        <w:spacing w:after="0" w:line="27" w:lineRule="exact"/>
        <w:rPr>
          <w:sz w:val="20"/>
          <w:szCs w:val="20"/>
          <w:color w:val="auto"/>
        </w:rPr>
      </w:pPr>
    </w:p>
    <w:p>
      <w:pPr>
        <w:ind w:left="904"/>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99.2 to the Registrant’s Current Report on Form 8-K filed on December 5, 2023 (Commission File No. 0-21238))</w:t>
        </w:r>
      </w:hyperlink>
    </w:p>
    <w:p>
      <w:pPr>
        <w:spacing w:after="0" w:line="99" w:lineRule="exact"/>
        <w:rPr>
          <w:sz w:val="20"/>
          <w:szCs w:val="20"/>
          <w:color w:val="auto"/>
        </w:rPr>
      </w:pPr>
    </w:p>
    <w:p>
      <w:pPr>
        <w:ind w:left="904" w:right="480" w:hanging="903"/>
        <w:spacing w:after="0" w:line="282" w:lineRule="auto"/>
        <w:tabs>
          <w:tab w:leader="none" w:pos="884"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0000EE"/>
        </w:rPr>
        <w:t>Total Shareholder Return Performance Related Stock Award Agreement, between Landstar System, Inc. and Frank A. Lonegro, dated February 2, 2024</w:t>
      </w:r>
    </w:p>
    <w:p>
      <w:pPr>
        <w:spacing w:after="0" w:line="50" w:lineRule="exact"/>
        <w:rPr>
          <w:sz w:val="20"/>
          <w:szCs w:val="20"/>
          <w:color w:val="auto"/>
        </w:rPr>
      </w:pPr>
    </w:p>
    <w:p>
      <w:pPr>
        <w:ind w:left="904" w:hanging="904"/>
        <w:spacing w:after="0"/>
        <w:tabs>
          <w:tab w:leader="none" w:pos="9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 of the Registrant:</w:t>
      </w:r>
    </w:p>
    <w:p>
      <w:pPr>
        <w:spacing w:after="0" w:line="121"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List of Subsidiaries of the Registrant</w:t>
      </w:r>
    </w:p>
    <w:p>
      <w:pPr>
        <w:spacing w:after="0" w:line="113" w:lineRule="exact"/>
        <w:rPr>
          <w:sz w:val="20"/>
          <w:szCs w:val="20"/>
          <w:color w:val="auto"/>
        </w:rPr>
      </w:pPr>
    </w:p>
    <w:p>
      <w:pPr>
        <w:ind w:left="904" w:hanging="904"/>
        <w:spacing w:after="0"/>
        <w:tabs>
          <w:tab w:leader="none" w:pos="9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of experts and counsel:</w:t>
      </w:r>
    </w:p>
    <w:p>
      <w:pPr>
        <w:spacing w:after="0" w:line="121"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KPMG LLP as Independent Registered Public Accounting Firm</w:t>
      </w:r>
    </w:p>
    <w:p>
      <w:pPr>
        <w:spacing w:after="0" w:line="113" w:lineRule="exact"/>
        <w:rPr>
          <w:sz w:val="20"/>
          <w:szCs w:val="20"/>
          <w:color w:val="auto"/>
        </w:rPr>
      </w:pPr>
    </w:p>
    <w:p>
      <w:pPr>
        <w:ind w:left="904" w:hanging="904"/>
        <w:spacing w:after="0"/>
        <w:tabs>
          <w:tab w:leader="none" w:pos="9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Powers of Attorney</w:t>
      </w:r>
    </w:p>
    <w:p>
      <w:pPr>
        <w:spacing w:after="0" w:line="113" w:lineRule="exact"/>
        <w:rPr>
          <w:sz w:val="20"/>
          <w:szCs w:val="20"/>
          <w:color w:val="auto"/>
        </w:rPr>
      </w:pPr>
    </w:p>
    <w:p>
      <w:pPr>
        <w:ind w:left="904" w:hanging="904"/>
        <w:spacing w:after="0"/>
        <w:tabs>
          <w:tab w:leader="none" w:pos="9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121"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Chief Executive Officer certification, as adopted pursuant to Section 302 of the Sarbanes-Oxley Act of 2002</w:t>
      </w:r>
    </w:p>
    <w:p>
      <w:pPr>
        <w:spacing w:after="0" w:line="117"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Chief Financial Officer certification, as adopted pursuant to Section 302 of the Sarbanes-Oxley Act of 2002</w:t>
      </w:r>
    </w:p>
    <w:p>
      <w:pPr>
        <w:spacing w:after="0" w:line="113" w:lineRule="exact"/>
        <w:rPr>
          <w:sz w:val="20"/>
          <w:szCs w:val="20"/>
          <w:color w:val="auto"/>
        </w:rPr>
      </w:pPr>
    </w:p>
    <w:p>
      <w:pPr>
        <w:ind w:left="904" w:hanging="904"/>
        <w:spacing w:after="0"/>
        <w:tabs>
          <w:tab w:leader="none" w:pos="9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Certifications pursuant to Section 906 of the Sarbanes-Oxley Act of 2002:</w:t>
      </w:r>
    </w:p>
    <w:p>
      <w:pPr>
        <w:spacing w:after="0" w:line="1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18 U.S.C. Section 1350, as adopted pursuant to Section 906 of the Sarbanes-Oxley Act of</w:t>
            </w:r>
          </w:p>
        </w:tc>
      </w:tr>
      <w:tr>
        <w:trPr>
          <w:trHeight w:val="196"/>
        </w:trPr>
        <w:tc>
          <w:tcPr>
            <w:tcW w:w="9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47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18 U.S.C. Section 1350, as adopted pursuant to Section 906 of the Sarbanes-Oxley Act of</w:t>
            </w: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4780" w:type="dxa"/>
            <w:vAlign w:val="bottom"/>
            <w:tcBorders>
              <w:top w:val="single" w:sz="8" w:color="0000EE"/>
            </w:tcBorders>
          </w:tcPr>
          <w:p>
            <w:pPr>
              <w:spacing w:after="0"/>
              <w:rPr>
                <w:sz w:val="17"/>
                <w:szCs w:val="17"/>
                <w:color w:val="auto"/>
              </w:rPr>
            </w:pPr>
          </w:p>
        </w:tc>
        <w:tc>
          <w:tcPr>
            <w:tcW w:w="48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Landstar System, Inc. Clawback Policy, as adopted on August 10, 2023</w:t>
            </w:r>
          </w:p>
        </w:tc>
      </w:tr>
      <w:tr>
        <w:trPr>
          <w:trHeight w:val="385"/>
        </w:trPr>
        <w:tc>
          <w:tcPr>
            <w:tcW w:w="900" w:type="dxa"/>
            <w:vAlign w:val="bottom"/>
          </w:tcPr>
          <w:p>
            <w:pPr>
              <w:spacing w:after="0"/>
              <w:rPr>
                <w:sz w:val="24"/>
                <w:szCs w:val="24"/>
                <w:color w:val="auto"/>
              </w:rPr>
            </w:pPr>
          </w:p>
        </w:tc>
        <w:tc>
          <w:tcPr>
            <w:tcW w:w="5140" w:type="dxa"/>
            <w:vAlign w:val="bottom"/>
            <w:tcBorders>
              <w:top w:val="single" w:sz="8" w:color="0000EE"/>
            </w:tcBorders>
            <w:gridSpan w:val="2"/>
          </w:tcPr>
          <w:p>
            <w:pPr>
              <w:ind w:left="4520"/>
              <w:spacing w:after="0"/>
              <w:rPr>
                <w:sz w:val="20"/>
                <w:szCs w:val="20"/>
                <w:color w:val="auto"/>
              </w:rPr>
            </w:pPr>
            <w:r>
              <w:rPr>
                <w:rFonts w:ascii="Times New Roman" w:cs="Times New Roman" w:eastAsia="Times New Roman" w:hAnsi="Times New Roman"/>
                <w:sz w:val="18"/>
                <w:szCs w:val="18"/>
                <w:color w:val="auto"/>
              </w:rPr>
              <w:t>70</w:t>
            </w:r>
          </w:p>
        </w:tc>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4"/>
          </w:cols>
          <w:pgMar w:left="436" w:top="297" w:right="459" w:bottom="1440" w:gutter="0" w:footer="0" w:header="0"/>
        </w:sectPr>
      </w:pPr>
    </w:p>
    <w:bookmarkStart w:id="70" w:name="page71"/>
    <w:bookmarkEnd w:id="70"/>
    <w:p>
      <w:pPr>
        <w:ind w:left="884" w:hanging="879"/>
        <w:spacing w:after="0" w:line="261" w:lineRule="auto"/>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101*</w:t>
      </w:r>
      <w:r>
        <w:rPr>
          <w:sz w:val="20"/>
          <w:szCs w:val="20"/>
          <w:color w:val="auto"/>
        </w:rPr>
        <w:tab/>
      </w:r>
      <w:r>
        <w:rPr>
          <w:rFonts w:ascii="Times New Roman" w:cs="Times New Roman" w:eastAsia="Times New Roman" w:hAnsi="Times New Roman"/>
          <w:sz w:val="18"/>
          <w:szCs w:val="18"/>
          <w:color w:val="auto"/>
        </w:rPr>
        <w:t>The following materials from the Company’s Annual Report on Form 10-K for the fiscal year ended December 30, 2023, formatted in Inline eXtensible Business Reporting Language (iXBRL): (i) Consolidated Balance Sheets, (ii) Consolidated Statements of Income,</w:t>
      </w:r>
    </w:p>
    <w:p>
      <w:pPr>
        <w:ind w:left="884" w:right="480" w:firstLine="7"/>
        <w:spacing w:after="0" w:line="260" w:lineRule="auto"/>
        <w:tabs>
          <w:tab w:leader="none" w:pos="11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(iv) Consolidated Statements of Cash Flows, (v) Consolidated Statements of Changes in Shareholders’ Equity, (vi) Notes to Consolidated Financial Statements, and (vii) Financial Statement Schedule.</w:t>
      </w:r>
    </w:p>
    <w:p>
      <w:pPr>
        <w:spacing w:after="0" w:line="73"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 w:right="6280" w:hanging="4"/>
        <w:spacing w:after="0" w:line="261" w:lineRule="auto"/>
        <w:tabs>
          <w:tab w:leader="none" w:pos="4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ind w:left="4"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 WILL FURNISH, WITHOUT CHARGE, TO ANY SHAREHOLDER OF THE COMPANY WHO SO REQUESTS IN WRITING, A COPY OF ANY EXHIBITS, AS FILED WITH THE SECURITIES AND EXCHANGE COMMISSION. ANY SUCH REQUEST SHOULD BE DIRECTED TO LANDSTAR SYSTEM, INC., ATTENTION: INVESTOR RELATIONS, 13410 SUTTON PARK DRIVE SOUTH, JACKSONVILLE, FLORIDA 32224.</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97" w:right="4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Date: February 23, 2024</w:t>
            </w:r>
          </w:p>
        </w:tc>
        <w:tc>
          <w:tcPr>
            <w:tcW w:w="6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LANDSTAR SYSTEM, INC.</w:t>
            </w:r>
          </w:p>
        </w:tc>
      </w:tr>
      <w:tr>
        <w:trPr>
          <w:trHeight w:val="432"/>
        </w:trPr>
        <w:tc>
          <w:tcPr>
            <w:tcW w:w="4140" w:type="dxa"/>
            <w:vAlign w:val="bottom"/>
          </w:tcPr>
          <w:p>
            <w:pPr>
              <w:spacing w:after="0"/>
              <w:rPr>
                <w:sz w:val="24"/>
                <w:szCs w:val="24"/>
                <w:color w:val="auto"/>
              </w:rPr>
            </w:pPr>
          </w:p>
        </w:tc>
        <w:tc>
          <w:tcPr>
            <w:tcW w:w="1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 FRANK A. LONEGRO</w:t>
            </w:r>
          </w:p>
        </w:tc>
      </w:tr>
      <w:tr>
        <w:trPr>
          <w:trHeight w:val="189"/>
        </w:trPr>
        <w:tc>
          <w:tcPr>
            <w:tcW w:w="4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rPr>
              <w:t>Frank A. Lonegro</w:t>
            </w:r>
          </w:p>
        </w:tc>
      </w:tr>
      <w:tr>
        <w:trPr>
          <w:trHeight w:val="236"/>
        </w:trPr>
        <w:tc>
          <w:tcPr>
            <w:tcW w:w="4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432"/>
        </w:trPr>
        <w:tc>
          <w:tcPr>
            <w:tcW w:w="4140" w:type="dxa"/>
            <w:vAlign w:val="bottom"/>
          </w:tcPr>
          <w:p>
            <w:pPr>
              <w:spacing w:after="0"/>
              <w:rPr>
                <w:sz w:val="24"/>
                <w:szCs w:val="24"/>
                <w:color w:val="auto"/>
              </w:rPr>
            </w:pPr>
          </w:p>
        </w:tc>
        <w:tc>
          <w:tcPr>
            <w:tcW w:w="1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 JAMES P. TODD</w:t>
            </w:r>
          </w:p>
        </w:tc>
      </w:tr>
      <w:tr>
        <w:trPr>
          <w:trHeight w:val="211"/>
        </w:trPr>
        <w:tc>
          <w:tcPr>
            <w:tcW w:w="4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James P. Todd</w:t>
            </w:r>
          </w:p>
        </w:tc>
      </w:tr>
    </w:tbl>
    <w:p>
      <w:pPr>
        <w:ind w:left="6260"/>
        <w:spacing w:after="0"/>
        <w:rPr>
          <w:sz w:val="20"/>
          <w:szCs w:val="20"/>
          <w:color w:val="auto"/>
        </w:rPr>
      </w:pPr>
      <w:r>
        <w:rPr>
          <w:rFonts w:ascii="Times New Roman" w:cs="Times New Roman" w:eastAsia="Times New Roman" w:hAnsi="Times New Roman"/>
          <w:sz w:val="18"/>
          <w:szCs w:val="18"/>
          <w:i w:val="1"/>
          <w:iCs w:val="1"/>
          <w:color w:val="auto"/>
        </w:rPr>
        <w:t>Vice President, Chief Financial Officer and Assistant Secretary</w:t>
      </w:r>
    </w:p>
    <w:p>
      <w:pPr>
        <w:spacing w:after="0" w:line="20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Pr>
          <w:p>
            <w:pPr>
              <w:spacing w:after="0"/>
              <w:rPr>
                <w:sz w:val="16"/>
                <w:szCs w:val="16"/>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9"/>
        </w:trPr>
        <w:tc>
          <w:tcPr>
            <w:tcW w:w="300" w:type="dxa"/>
            <w:vAlign w:val="bottom"/>
            <w:tcBorders>
              <w:top w:val="single" w:sz="8" w:color="auto"/>
              <w:bottom w:val="single" w:sz="8" w:color="auto"/>
            </w:tcBorders>
          </w:tcPr>
          <w:p>
            <w:pPr>
              <w:spacing w:after="0"/>
              <w:rPr>
                <w:sz w:val="18"/>
                <w:szCs w:val="18"/>
                <w:color w:val="auto"/>
              </w:rPr>
            </w:pPr>
          </w:p>
        </w:tc>
        <w:tc>
          <w:tcPr>
            <w:tcW w:w="3880" w:type="dxa"/>
            <w:vAlign w:val="bottom"/>
            <w:tcBorders>
              <w:top w:val="single" w:sz="8" w:color="auto"/>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9"/>
              </w:rPr>
              <w:t>/s/ FRANK A. LONEGRO</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w:t>
            </w:r>
          </w:p>
        </w:tc>
        <w:tc>
          <w:tcPr>
            <w:tcW w:w="12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Frank A. Lonegro</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Officer; Director</w:t>
            </w: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8"/>
              </w:rPr>
              <w:t>/s/ JAMES P. TODD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and Chief Financial Officer and Assistant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178"/>
        </w:trPr>
        <w:tc>
          <w:tcPr>
            <w:tcW w:w="300" w:type="dxa"/>
            <w:vAlign w:val="bottom"/>
          </w:tcPr>
          <w:p>
            <w:pPr>
              <w:spacing w:after="0"/>
              <w:rPr>
                <w:sz w:val="15"/>
                <w:szCs w:val="15"/>
                <w:color w:val="auto"/>
              </w:rPr>
            </w:pPr>
          </w:p>
        </w:tc>
        <w:tc>
          <w:tcPr>
            <w:tcW w:w="3880" w:type="dxa"/>
            <w:vAlign w:val="bottom"/>
          </w:tcPr>
          <w:p>
            <w:pPr>
              <w:jc w:val="center"/>
              <w:ind w:right="211"/>
              <w:spacing w:after="0" w:line="177" w:lineRule="exact"/>
              <w:rPr>
                <w:sz w:val="20"/>
                <w:szCs w:val="20"/>
                <w:color w:val="auto"/>
              </w:rPr>
            </w:pPr>
            <w:r>
              <w:rPr>
                <w:rFonts w:ascii="Times New Roman" w:cs="Times New Roman" w:eastAsia="Times New Roman" w:hAnsi="Times New Roman"/>
                <w:sz w:val="18"/>
                <w:szCs w:val="18"/>
                <w:color w:val="auto"/>
                <w:w w:val="96"/>
              </w:rPr>
              <w:t>James P. Todd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Secretary; Principal Financial Officer and Principal Accounting</w:t>
            </w:r>
          </w:p>
        </w:tc>
        <w:tc>
          <w:tcPr>
            <w:tcW w:w="1760" w:type="dxa"/>
            <w:vAlign w:val="bottom"/>
          </w:tcPr>
          <w:p>
            <w:pPr>
              <w:spacing w:after="0"/>
              <w:rPr>
                <w:sz w:val="15"/>
                <w:szCs w:val="15"/>
                <w:color w:val="auto"/>
              </w:rPr>
            </w:pPr>
          </w:p>
        </w:tc>
      </w:tr>
      <w:tr>
        <w:trPr>
          <w:trHeight w:val="234"/>
        </w:trPr>
        <w:tc>
          <w:tcPr>
            <w:tcW w:w="3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Officer</w:t>
            </w:r>
          </w:p>
        </w:tc>
        <w:tc>
          <w:tcPr>
            <w:tcW w:w="1760" w:type="dxa"/>
            <w:vAlign w:val="bottom"/>
          </w:tcPr>
          <w:p>
            <w:pPr>
              <w:spacing w:after="0"/>
              <w:rPr>
                <w:sz w:val="20"/>
                <w:szCs w:val="20"/>
                <w:color w:val="auto"/>
              </w:rPr>
            </w:pPr>
          </w:p>
        </w:tc>
      </w:tr>
      <w:tr>
        <w:trPr>
          <w:trHeight w:val="432"/>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Homaira Akbari</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David G. Bannister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James L. Liang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Diana M. Murphy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Anthony J. Orlando</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George P. Scanlon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300" w:type="dxa"/>
            <w:vAlign w:val="bottom"/>
          </w:tcPr>
          <w:p>
            <w:pPr>
              <w:spacing w:after="0"/>
              <w:rPr>
                <w:sz w:val="19"/>
                <w:szCs w:val="19"/>
                <w:color w:val="auto"/>
              </w:rPr>
            </w:pPr>
          </w:p>
        </w:tc>
        <w:tc>
          <w:tcPr>
            <w:tcW w:w="3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Teresa L. White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By:</w:t>
            </w:r>
          </w:p>
        </w:tc>
        <w:tc>
          <w:tcPr>
            <w:tcW w:w="388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color w:val="auto"/>
                <w:w w:val="99"/>
              </w:rPr>
              <w:t>/s/ MICHAEL K. KNELLER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9"/>
        </w:trPr>
        <w:tc>
          <w:tcPr>
            <w:tcW w:w="300" w:type="dxa"/>
            <w:vAlign w:val="bottom"/>
          </w:tcPr>
          <w:p>
            <w:pPr>
              <w:spacing w:after="0"/>
              <w:rPr>
                <w:sz w:val="16"/>
                <w:szCs w:val="16"/>
                <w:color w:val="auto"/>
              </w:rPr>
            </w:pPr>
          </w:p>
        </w:tc>
        <w:tc>
          <w:tcPr>
            <w:tcW w:w="3880" w:type="dxa"/>
            <w:vAlign w:val="bottom"/>
          </w:tcPr>
          <w:p>
            <w:pPr>
              <w:jc w:val="center"/>
              <w:ind w:left="191"/>
              <w:spacing w:after="0" w:line="189" w:lineRule="exact"/>
              <w:rPr>
                <w:sz w:val="20"/>
                <w:szCs w:val="20"/>
                <w:color w:val="auto"/>
              </w:rPr>
            </w:pPr>
            <w:r>
              <w:rPr>
                <w:rFonts w:ascii="Times New Roman" w:cs="Times New Roman" w:eastAsia="Times New Roman" w:hAnsi="Times New Roman"/>
                <w:sz w:val="18"/>
                <w:szCs w:val="18"/>
                <w:color w:val="auto"/>
              </w:rPr>
              <w:t>Michael K. Kneller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6"/>
        </w:trPr>
        <w:tc>
          <w:tcPr>
            <w:tcW w:w="300" w:type="dxa"/>
            <w:vAlign w:val="bottom"/>
          </w:tcPr>
          <w:p>
            <w:pPr>
              <w:spacing w:after="0"/>
              <w:rPr>
                <w:sz w:val="20"/>
                <w:szCs w:val="20"/>
                <w:color w:val="auto"/>
              </w:rPr>
            </w:pPr>
          </w:p>
        </w:tc>
        <w:tc>
          <w:tcPr>
            <w:tcW w:w="3880" w:type="dxa"/>
            <w:vAlign w:val="bottom"/>
          </w:tcPr>
          <w:p>
            <w:pPr>
              <w:jc w:val="center"/>
              <w:ind w:left="191"/>
              <w:spacing w:after="0"/>
              <w:rPr>
                <w:sz w:val="20"/>
                <w:szCs w:val="20"/>
                <w:color w:val="auto"/>
              </w:rPr>
            </w:pPr>
            <w:r>
              <w:rPr>
                <w:rFonts w:ascii="Times New Roman" w:cs="Times New Roman" w:eastAsia="Times New Roman" w:hAnsi="Times New Roman"/>
                <w:sz w:val="18"/>
                <w:szCs w:val="18"/>
                <w:i w:val="1"/>
                <w:iCs w:val="1"/>
                <w:color w:val="auto"/>
                <w:w w:val="99"/>
              </w:rPr>
              <w:t>Attorney In Fact*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60" w:type="dxa"/>
            <w:vAlign w:val="bottom"/>
            <w:gridSpan w:val="3"/>
          </w:tcPr>
          <w:p>
            <w:pPr>
              <w:jc w:val="right"/>
              <w:ind w:right="345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RELATED STOCK AWARD AGREEMENT</w:t>
      </w:r>
    </w:p>
    <w:p>
      <w:pPr>
        <w:spacing w:after="0" w:line="20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This Total Shareholder Return Performance Related Stock Award Agreement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February 2, 2024 (the “</w:t>
      </w:r>
      <w:r>
        <w:rPr>
          <w:rFonts w:ascii="Times New Roman" w:cs="Times New Roman" w:eastAsia="Times New Roman" w:hAnsi="Times New Roman"/>
          <w:sz w:val="18"/>
          <w:szCs w:val="18"/>
          <w:b w:val="1"/>
          <w:bCs w:val="1"/>
          <w:u w:val="single" w:color="auto"/>
          <w:color w:val="auto"/>
        </w:rPr>
        <w:t>Grant Date</w:t>
      </w:r>
      <w:r>
        <w:rPr>
          <w:rFonts w:ascii="Times New Roman" w:cs="Times New Roman" w:eastAsia="Times New Roman" w:hAnsi="Times New Roman"/>
          <w:sz w:val="18"/>
          <w:szCs w:val="18"/>
          <w:color w:val="auto"/>
        </w:rPr>
        <w:t>”), is between Landstar System,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Frank A. Lonegro (the “</w:t>
      </w:r>
      <w:r>
        <w:rPr>
          <w:rFonts w:ascii="Times New Roman" w:cs="Times New Roman" w:eastAsia="Times New Roman" w:hAnsi="Times New Roman"/>
          <w:sz w:val="18"/>
          <w:szCs w:val="18"/>
          <w:b w:val="1"/>
          <w:bCs w:val="1"/>
          <w:u w:val="single" w:color="auto"/>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36"/>
        <w:spacing w:after="0" w:line="259"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Performance Related Stock Award</w:t>
      </w:r>
      <w:r>
        <w:rPr>
          <w:rFonts w:ascii="Times New Roman" w:cs="Times New Roman" w:eastAsia="Times New Roman" w:hAnsi="Times New Roman"/>
          <w:sz w:val="18"/>
          <w:szCs w:val="18"/>
          <w:color w:val="auto"/>
        </w:rPr>
        <w:t>. This Agreement is entered into pursuant to the Landstar System, Inc. 2011 Equity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amended through November 2, 2023 and as may be further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and evidences the grant of a Performance Related Stock Award pursuant to Section 9 of the Plan in the form of 52,971 Restricted Stock Unit Awards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The PSUs and this Agreement are subject to the terms and provisions of the Plan. Capitalized terms that are not otherwise defined in this Agreement have the meanings ascribed to them in the Plan.</w:t>
      </w:r>
    </w:p>
    <w:p>
      <w:pPr>
        <w:spacing w:after="0" w:line="179" w:lineRule="exact"/>
        <w:rPr>
          <w:rFonts w:ascii="Times New Roman" w:cs="Times New Roman" w:eastAsia="Times New Roman" w:hAnsi="Times New Roman"/>
          <w:sz w:val="18"/>
          <w:szCs w:val="18"/>
          <w:color w:val="auto"/>
        </w:rPr>
      </w:pPr>
    </w:p>
    <w:p>
      <w:pPr>
        <w:ind w:right="60" w:firstLine="436"/>
        <w:spacing w:after="0" w:line="259"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color w:val="auto"/>
        </w:rPr>
        <w:t>. Dividend equivalents shall be credited to the PSUs each time that a dividend is paid on the Company’s Stock.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amount of such dividend equivalents so credited in respect of each such dividend shall be equal to the dividend paid on a share of Stock multiplied by the number of PSUs credited to the Executive under this Agreement on the dividend record date. The dividend equivalents shall be converted into additional PSUs, rounded down to the nearest whole number, on the dividend payment date based upon the then Fair Market Value of the Stock, and such PSUs shall be added to the PSUs credited to the Executive under this Agreement.</w:t>
      </w:r>
    </w:p>
    <w:p>
      <w:pPr>
        <w:spacing w:after="0" w:line="179" w:lineRule="exact"/>
        <w:rPr>
          <w:rFonts w:ascii="Times New Roman" w:cs="Times New Roman" w:eastAsia="Times New Roman" w:hAnsi="Times New Roman"/>
          <w:sz w:val="18"/>
          <w:szCs w:val="18"/>
          <w:color w:val="auto"/>
        </w:rPr>
      </w:pPr>
    </w:p>
    <w:p>
      <w:pPr>
        <w:ind w:right="100" w:firstLine="436"/>
        <w:spacing w:after="0" w:line="259"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Total Shareholder Return Vesting Requirement</w:t>
      </w:r>
      <w:r>
        <w:rPr>
          <w:rFonts w:ascii="Times New Roman" w:cs="Times New Roman" w:eastAsia="Times New Roman" w:hAnsi="Times New Roman"/>
          <w:sz w:val="18"/>
          <w:szCs w:val="18"/>
          <w:color w:val="auto"/>
        </w:rPr>
        <w:t>. Subject to Section 4, Section 5 and Section 6, 100% of the PSUs, adjusted to reflect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(if any) paid while the PSUs are outstanding during the Performance Period (as defined below) and as may be necessary to take into account capital adjustments described in Section 5.3 of the Plan, shall be eligible to vest beginning on the first Measurement Date occurring in 2030 and each of the Measurement Dates thereafter during the Performance Period and shall vest based on achievement of the Target TSR CAGR as of any such Measurement Date.</w:t>
      </w:r>
    </w:p>
    <w:p>
      <w:pPr>
        <w:spacing w:after="0" w:line="71" w:lineRule="exact"/>
        <w:rPr>
          <w:rFonts w:ascii="Times New Roman" w:cs="Times New Roman" w:eastAsia="Times New Roman" w:hAnsi="Times New Roman"/>
          <w:sz w:val="18"/>
          <w:szCs w:val="18"/>
          <w:color w:val="auto"/>
        </w:rPr>
      </w:pPr>
    </w:p>
    <w:p>
      <w:pPr>
        <w:jc w:val="both"/>
        <w:ind w:left="440" w:right="260" w:firstLine="419"/>
        <w:spacing w:after="0" w:line="291" w:lineRule="auto"/>
        <w:tabs>
          <w:tab w:leader="none" w:pos="103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Target TSR CAGR</w:t>
      </w:r>
      <w:r>
        <w:rPr>
          <w:rFonts w:ascii="Times New Roman" w:cs="Times New Roman" w:eastAsia="Times New Roman" w:hAnsi="Times New Roman"/>
          <w:sz w:val="17"/>
          <w:szCs w:val="17"/>
          <w:color w:val="auto"/>
        </w:rPr>
        <w:t>” means at least a 9% compound annual growth rate based on the Ending TSR Value as of any Measurement Date relative to the average Fair Market Value of a share of Stock for the period beginning on the first Monday after the Company’s annual earnings release for 2023 and ending on the 60-day anniversary thereof (the “</w:t>
      </w:r>
      <w:r>
        <w:rPr>
          <w:rFonts w:ascii="Times New Roman" w:cs="Times New Roman" w:eastAsia="Times New Roman" w:hAnsi="Times New Roman"/>
          <w:sz w:val="17"/>
          <w:szCs w:val="17"/>
          <w:b w:val="1"/>
          <w:bCs w:val="1"/>
          <w:u w:val="single" w:color="auto"/>
          <w:color w:val="auto"/>
        </w:rPr>
        <w:t>Base TSR Value</w:t>
      </w:r>
      <w:r>
        <w:rPr>
          <w:rFonts w:ascii="Times New Roman" w:cs="Times New Roman" w:eastAsia="Times New Roman" w:hAnsi="Times New Roman"/>
          <w:sz w:val="17"/>
          <w:szCs w:val="17"/>
          <w:color w:val="auto"/>
        </w:rPr>
        <w:t>” and such 60-day anniversary, the “</w:t>
      </w:r>
      <w:r>
        <w:rPr>
          <w:rFonts w:ascii="Times New Roman" w:cs="Times New Roman" w:eastAsia="Times New Roman" w:hAnsi="Times New Roman"/>
          <w:sz w:val="17"/>
          <w:szCs w:val="17"/>
          <w:b w:val="1"/>
          <w:bCs w:val="1"/>
          <w:u w:val="single" w:color="auto"/>
          <w:color w:val="auto"/>
        </w:rPr>
        <w:t>Base Date</w:t>
      </w:r>
      <w:r>
        <w:rPr>
          <w:rFonts w:ascii="Times New Roman" w:cs="Times New Roman" w:eastAsia="Times New Roman" w:hAnsi="Times New Roman"/>
          <w:sz w:val="17"/>
          <w:szCs w:val="17"/>
          <w:color w:val="auto"/>
        </w:rPr>
        <w:t>”).</w:t>
      </w:r>
    </w:p>
    <w:p>
      <w:pPr>
        <w:spacing w:after="0" w:line="44" w:lineRule="exact"/>
        <w:rPr>
          <w:rFonts w:ascii="Times New Roman" w:cs="Times New Roman" w:eastAsia="Times New Roman" w:hAnsi="Times New Roman"/>
          <w:sz w:val="17"/>
          <w:szCs w:val="17"/>
          <w:color w:val="auto"/>
        </w:rPr>
      </w:pPr>
    </w:p>
    <w:p>
      <w:pPr>
        <w:ind w:left="440" w:right="100" w:firstLine="419"/>
        <w:spacing w:after="0" w:line="286" w:lineRule="auto"/>
        <w:tabs>
          <w:tab w:leader="none" w:pos="10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Measurement Date</w:t>
      </w:r>
      <w:r>
        <w:rPr>
          <w:rFonts w:ascii="Times New Roman" w:cs="Times New Roman" w:eastAsia="Times New Roman" w:hAnsi="Times New Roman"/>
          <w:sz w:val="18"/>
          <w:szCs w:val="18"/>
          <w:color w:val="auto"/>
        </w:rPr>
        <w:t>” means, for any applicable calendar year during the Performance Period beginning in 2030, the 60-day anniversary of the first Monday after the Company’s annual earnings release for the prior year.</w:t>
      </w:r>
    </w:p>
    <w:p>
      <w:pPr>
        <w:spacing w:after="0" w:line="46" w:lineRule="exact"/>
        <w:rPr>
          <w:rFonts w:ascii="Times New Roman" w:cs="Times New Roman" w:eastAsia="Times New Roman" w:hAnsi="Times New Roman"/>
          <w:sz w:val="18"/>
          <w:szCs w:val="18"/>
          <w:color w:val="auto"/>
        </w:rPr>
      </w:pPr>
    </w:p>
    <w:p>
      <w:pPr>
        <w:jc w:val="both"/>
        <w:ind w:left="440" w:right="60" w:firstLine="419"/>
        <w:spacing w:after="0" w:line="262" w:lineRule="auto"/>
        <w:tabs>
          <w:tab w:leader="none" w:pos="10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Ending TSR Value</w:t>
      </w:r>
      <w:r>
        <w:rPr>
          <w:rFonts w:ascii="Times New Roman" w:cs="Times New Roman" w:eastAsia="Times New Roman" w:hAnsi="Times New Roman"/>
          <w:sz w:val="18"/>
          <w:szCs w:val="18"/>
          <w:color w:val="auto"/>
        </w:rPr>
        <w:t>” means, for any applicable calendar year during the Performance Period beginning in 2030, the average Fair Market Value of a share of Stock for the trailing 60-day period ending on the applicable Measurement Date for such year, adjusted to reflect dividends (if any) paid during the period from the day following the Base Date until the applicable Measurement Date, and as may be necessary to take into account capital adjustments described in Section 5.3 of the Plan.</w:t>
      </w:r>
    </w:p>
    <w:p>
      <w:pPr>
        <w:sectPr>
          <w:pgSz w:w="11900" w:h="16838" w:orient="portrait"/>
          <w:cols w:equalWidth="0" w:num="1">
            <w:col w:w="11020"/>
          </w:cols>
          <w:pgMar w:left="440" w:top="117" w:right="439" w:bottom="1440" w:gutter="0" w:footer="0" w:header="0"/>
        </w:sectPr>
      </w:pPr>
    </w:p>
    <w:bookmarkStart w:id="73" w:name="page74"/>
    <w:bookmarkEnd w:id="73"/>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w:t>
      </w: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means the period from the Grant Date until the Measurement Date in 2034 (the “</w:t>
      </w:r>
      <w:r>
        <w:rPr>
          <w:rFonts w:ascii="Times New Roman" w:cs="Times New Roman" w:eastAsia="Times New Roman" w:hAnsi="Times New Roman"/>
          <w:sz w:val="18"/>
          <w:szCs w:val="18"/>
          <w:b w:val="1"/>
          <w:bCs w:val="1"/>
          <w:u w:val="single" w:color="auto"/>
          <w:color w:val="auto"/>
        </w:rPr>
        <w:t>End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avoidance of doubt, if the compound annual growth rate of Ending TSR Value relative to Base TSR Value is below 9% as of any applicable Measurement Date, then none of the PSUs granted hereunder shall vest. Any Measurement Date (including a Death or Disability Measurement Date or Change in Control Measurement Date (each, as defined below)) on which the applicable Target TSR CAGR goals are achieved shall be deemed to be the vesting date of the PSUs under this Agreement.</w:t>
      </w:r>
    </w:p>
    <w:p>
      <w:pPr>
        <w:spacing w:after="0" w:line="176" w:lineRule="exact"/>
        <w:rPr>
          <w:sz w:val="20"/>
          <w:szCs w:val="20"/>
          <w:color w:val="auto"/>
        </w:rPr>
      </w:pPr>
    </w:p>
    <w:p>
      <w:pPr>
        <w:ind w:firstLine="436"/>
        <w:spacing w:after="0" w:line="259"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Continuous Employment Requirement</w:t>
      </w:r>
      <w:r>
        <w:rPr>
          <w:rFonts w:ascii="Times New Roman" w:cs="Times New Roman" w:eastAsia="Times New Roman" w:hAnsi="Times New Roman"/>
          <w:sz w:val="18"/>
          <w:szCs w:val="18"/>
          <w:color w:val="auto"/>
        </w:rPr>
        <w:t>. Except as otherwise determined by the Committee, or except as otherwise provided in Section 5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 the PSUs shall vest only if the Executive is continuously employed by the Company from the Grant Date through the applicable Measurement Date when the Target TSR CAGR is achieved. Except as otherwise determined by the Committee, or except as otherwise provided in Section 5 or Section 6, any PSUs that have not vested as of the date the Executive’s employment terminates shall be immediately forfeited and the Executive shall have no further rights under this Agreement following the date as of which the Executive’s employment terminates.</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 or Disability</w:t>
      </w:r>
      <w:r>
        <w:rPr>
          <w:rFonts w:ascii="Times New Roman" w:cs="Times New Roman" w:eastAsia="Times New Roman" w:hAnsi="Times New Roman"/>
          <w:sz w:val="18"/>
          <w:szCs w:val="18"/>
          <w:color w:val="auto"/>
        </w:rPr>
        <w:t>. In the event the Executive’s employment terminates as a result of the Executive’s death or Disability on or after</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February 2, 2027, but prior to the vesting of the PSUs, then there shall occur a measurement date on the date on which the Executive’s employment terminates (the “</w:t>
      </w:r>
      <w:r>
        <w:rPr>
          <w:rFonts w:ascii="Times New Roman" w:cs="Times New Roman" w:eastAsia="Times New Roman" w:hAnsi="Times New Roman"/>
          <w:sz w:val="18"/>
          <w:szCs w:val="18"/>
          <w:b w:val="1"/>
          <w:bCs w:val="1"/>
          <w:u w:val="single" w:color="auto"/>
          <w:color w:val="auto"/>
        </w:rPr>
        <w:t>Death or Disability Measurement Date</w:t>
      </w:r>
      <w:r>
        <w:rPr>
          <w:rFonts w:ascii="Times New Roman" w:cs="Times New Roman" w:eastAsia="Times New Roman" w:hAnsi="Times New Roman"/>
          <w:sz w:val="18"/>
          <w:szCs w:val="18"/>
          <w:color w:val="auto"/>
        </w:rPr>
        <w:t>”). In any such event, up to all of the PSUs under this Agreement as of the Death or Disability Measurement Date shall be eligible to vest if the Target TSR CAGR has been achieved based on the average Fair Market Value of a share of Stock for the trailing 60-day period ending on the Death or Disability Measurement Date relative to the Base TSR Value with the number of PSUs that vest determined as follows: (a) if the Death or Disability Measurement Date occurs prior to February 2, 2030, then the number of PSUs that vest on such Death or Disability Measurement Date shall equal the product of (x) all of the PSUs under this Agreement and (y) a fraction, the numerator of which is the number of days that the Executive was employed by the Company prior to such Death or Disability Measurement Date and the denominator of which is 2,192 and (b) if the Death or Disability Measurement Date occurs on or after February 2, 2030, then the number of PSUs that vest on such Death or Disability Measurement Date shall equal all of the PSUs under this Agreement.</w:t>
      </w:r>
    </w:p>
    <w:p>
      <w:pPr>
        <w:spacing w:after="0" w:line="189" w:lineRule="exact"/>
        <w:rPr>
          <w:sz w:val="20"/>
          <w:szCs w:val="20"/>
          <w:color w:val="auto"/>
        </w:rPr>
      </w:pPr>
    </w:p>
    <w:p>
      <w:pPr>
        <w:ind w:right="240" w:firstLine="436"/>
        <w:spacing w:after="0" w:line="259"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Subject to the Executive’s continued employment through the date such Change in Control occurs, in the event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that occurs prior to the vesting of the PSUs, then there shall occur a measurement date on the date on which the Change in Control occurs (the “</w:t>
      </w:r>
      <w:r>
        <w:rPr>
          <w:rFonts w:ascii="Times New Roman" w:cs="Times New Roman" w:eastAsia="Times New Roman" w:hAnsi="Times New Roman"/>
          <w:sz w:val="18"/>
          <w:szCs w:val="18"/>
          <w:b w:val="1"/>
          <w:bCs w:val="1"/>
          <w:u w:val="single" w:color="auto"/>
          <w:color w:val="auto"/>
        </w:rPr>
        <w:t>Change in Control Measurement Date</w:t>
      </w:r>
      <w:r>
        <w:rPr>
          <w:rFonts w:ascii="Times New Roman" w:cs="Times New Roman" w:eastAsia="Times New Roman" w:hAnsi="Times New Roman"/>
          <w:sz w:val="18"/>
          <w:szCs w:val="18"/>
          <w:color w:val="auto"/>
        </w:rPr>
        <w:t>”). In any such event, all of the PSUs under this Agreement as of the Change in Control Measurement Date shall vest if the Change in Control Price is at least 125% of the price per share of Stock that would achieve the Target TSR CAGR relative to the Base TSR Value as of the Change in Control Measurement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4" w:name="page75"/>
    <w:bookmarkEnd w:id="74"/>
    <w:p>
      <w:pPr>
        <w:jc w:val="both"/>
        <w:ind w:left="-20" w:right="100" w:firstLine="436"/>
        <w:spacing w:after="0" w:line="268"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w:t>
      </w:r>
      <w:r>
        <w:rPr>
          <w:rFonts w:ascii="Times New Roman" w:cs="Times New Roman" w:eastAsia="Times New Roman" w:hAnsi="Times New Roman"/>
          <w:sz w:val="18"/>
          <w:szCs w:val="18"/>
          <w:color w:val="auto"/>
        </w:rPr>
        <w:t>. Notwithstanding anything in this Agreement to the contrary, if any PSUs do not vest as of the earlier to occur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End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Death or Disability Measurement Date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Change in Control Measurement Date (the “</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color w:val="auto"/>
        </w:rPr>
        <w:t>”), then such PSUs shall expire as of the Expiration Date and the Executive shall have no further rights under this Agreement following the Expiration Date.</w:t>
      </w:r>
    </w:p>
    <w:p>
      <w:pPr>
        <w:spacing w:after="0" w:line="170" w:lineRule="exact"/>
        <w:rPr>
          <w:rFonts w:ascii="Times New Roman" w:cs="Times New Roman" w:eastAsia="Times New Roman" w:hAnsi="Times New Roman"/>
          <w:sz w:val="18"/>
          <w:szCs w:val="18"/>
          <w:color w:val="auto"/>
        </w:rPr>
      </w:pPr>
    </w:p>
    <w:p>
      <w:pPr>
        <w:ind w:left="-20" w:right="100" w:firstLine="436"/>
        <w:spacing w:after="0" w:line="259"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As soon as practicable after the date as of which the PSUs vest (but in no event later than March 15 of the year following the year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PSUs vest), a number of shares of Stock represented by the PSUs that have become vested shall be issued to the Executive, subject to any withholding for taxes;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the event of a Change in Control, PSUs that have become vested shall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 paid in shares of Stock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 cancelled in exchange for an immediate payment in cash of an amount based upon the Change in Control Price, in the discretion of the Committee. If the Executive dies before the payment due hereunder is made, such payment shall be made to the Executive’s beneficiary.</w:t>
      </w:r>
    </w:p>
    <w:p>
      <w:pPr>
        <w:spacing w:after="0" w:line="179" w:lineRule="exact"/>
        <w:rPr>
          <w:rFonts w:ascii="Times New Roman" w:cs="Times New Roman" w:eastAsia="Times New Roman" w:hAnsi="Times New Roman"/>
          <w:sz w:val="18"/>
          <w:szCs w:val="18"/>
          <w:color w:val="auto"/>
        </w:rPr>
      </w:pPr>
    </w:p>
    <w:p>
      <w:pPr>
        <w:ind w:left="-20" w:right="160" w:firstLine="436"/>
        <w:spacing w:after="0" w:line="268"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Shareholder Rights</w:t>
      </w:r>
      <w:r>
        <w:rPr>
          <w:rFonts w:ascii="Times New Roman" w:cs="Times New Roman" w:eastAsia="Times New Roman" w:hAnsi="Times New Roman"/>
          <w:sz w:val="18"/>
          <w:szCs w:val="18"/>
          <w:color w:val="auto"/>
        </w:rPr>
        <w:t>. The Executive shall have no rights as a shareholder with respect to shares of Stock to which this grant relates.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Plan or in this Agreement, no adjustment shall be made, for dividends or other rights for which the record date occurs while the PSUs are outstanding.</w:t>
      </w:r>
    </w:p>
    <w:p>
      <w:pPr>
        <w:spacing w:after="0" w:line="170" w:lineRule="exact"/>
        <w:rPr>
          <w:rFonts w:ascii="Times New Roman" w:cs="Times New Roman" w:eastAsia="Times New Roman" w:hAnsi="Times New Roman"/>
          <w:sz w:val="18"/>
          <w:szCs w:val="18"/>
          <w:color w:val="auto"/>
        </w:rPr>
      </w:pPr>
    </w:p>
    <w:p>
      <w:pPr>
        <w:ind w:left="-20" w:firstLine="436"/>
        <w:spacing w:after="0" w:line="268" w:lineRule="auto"/>
        <w:tabs>
          <w:tab w:leader="none" w:pos="6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of Agreement</w:t>
      </w:r>
      <w:r>
        <w:rPr>
          <w:rFonts w:ascii="Times New Roman" w:cs="Times New Roman" w:eastAsia="Times New Roman" w:hAnsi="Times New Roman"/>
          <w:sz w:val="18"/>
          <w:szCs w:val="18"/>
          <w:color w:val="auto"/>
        </w:rPr>
        <w:t>. The Committee has the right, in its sole discretion, to alter or amend this Agreement from time to time and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for the purpose of promoting the objectives of the Plan, provided that no such amendment shall in any manner adversely affect the Executive’s rights under this Agreement without the Executive’s consent.</w:t>
      </w:r>
    </w:p>
    <w:p>
      <w:pPr>
        <w:spacing w:after="0" w:line="170" w:lineRule="exact"/>
        <w:rPr>
          <w:rFonts w:ascii="Times New Roman" w:cs="Times New Roman" w:eastAsia="Times New Roman" w:hAnsi="Times New Roman"/>
          <w:sz w:val="18"/>
          <w:szCs w:val="18"/>
          <w:color w:val="auto"/>
        </w:rPr>
      </w:pPr>
    </w:p>
    <w:p>
      <w:pPr>
        <w:jc w:val="both"/>
        <w:ind w:left="-20" w:right="20" w:firstLine="436"/>
        <w:spacing w:after="0" w:line="268" w:lineRule="auto"/>
        <w:tabs>
          <w:tab w:leader="none" w:pos="6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The Executive may not, at any time prior to the vesting of the PSUs, assign, alienate, pledge, attach, sell or otherwise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encumber the PSUs and any such purported assignment, alienation, pledge, attachment, sale, transfer or encumbrance will be void and unenforceable for all purposes.</w:t>
      </w:r>
    </w:p>
    <w:p>
      <w:pPr>
        <w:spacing w:after="0" w:line="170" w:lineRule="exact"/>
        <w:rPr>
          <w:rFonts w:ascii="Times New Roman" w:cs="Times New Roman" w:eastAsia="Times New Roman" w:hAnsi="Times New Roman"/>
          <w:sz w:val="18"/>
          <w:szCs w:val="18"/>
          <w:color w:val="auto"/>
        </w:rPr>
      </w:pPr>
    </w:p>
    <w:p>
      <w:pPr>
        <w:ind w:left="-20" w:right="160" w:firstLine="436"/>
        <w:spacing w:after="0" w:line="257" w:lineRule="auto"/>
        <w:tabs>
          <w:tab w:leader="none" w:pos="6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other provision of this Agreement or the Plan, the Company may cancel all or any part of the PSUs,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of any amounts earned in respect of the PSUs, and effect any other right of recoupment in respect of the PSUs in accordance with the Clawback Policy. In addition, the Executive may be required to repay to the Company previously paid compensation in respect of the PSUs in accordance with the Clawback Policy. By accepting the PSUs, the Executive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82"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 The Committee shall have complete discretion in the exercise of its rights, powers, and duties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set forth in the Plan. Any interpretation or construction of any provision of, and the determination of any question arising under, this Agreement shall be made by the Committee in its discretion. This Agreement is intended to grant the PSUs upon the terms and conditions authorized by the Plan, including, without limitation, the clawback provision set forth in section 13.4 of the Plan and the tax withholding provision set forth in Section 13.3 of the Plan. Any provisions of this Agreement that cannot be so administered, interpreted, or construed shall be disregarded. In the event that any provision of this Agreement is held invalid or unenforceable, such provision shall be considered separate and apart from the remainder of this Agreement, which shall remain in full force and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66" w:right="4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LANDSTAR SYSTEM, INC.</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EXECUTIVE</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David G. Bannister</w:t>
            </w:r>
          </w:p>
        </w:tc>
        <w:tc>
          <w:tcPr>
            <w:tcW w:w="10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Frank A. Lonegro</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David G. Bannister</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Frank A. Lonegro</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of the Compensation Committee</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6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6" w:name="page77"/>
    <w:bookmarkEnd w:id="76"/>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Exhibit 21.1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8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99"/>
              </w:rPr>
              <w:t>LIST OF SUBSIDIARIES OF LANDSTAR SYSTEM, INC.</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38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(as of December 30, 2023)</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7380" w:type="dxa"/>
            <w:vAlign w:val="bottom"/>
            <w:vMerge w:val="restart"/>
          </w:tcPr>
          <w:p>
            <w:pPr>
              <w:spacing w:after="0"/>
              <w:rPr>
                <w:sz w:val="24"/>
                <w:szCs w:val="24"/>
                <w:color w:val="auto"/>
              </w:rPr>
            </w:pPr>
          </w:p>
        </w:tc>
        <w:tc>
          <w:tcPr>
            <w:tcW w:w="2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Jurisdiction of</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of Voting</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7380" w:type="dxa"/>
            <w:vAlign w:val="bottom"/>
            <w:vMerge w:val="continue"/>
          </w:tcPr>
          <w:p>
            <w:pPr>
              <w:spacing w:after="0"/>
              <w:rPr>
                <w:sz w:val="15"/>
                <w:szCs w:val="15"/>
                <w:color w:val="auto"/>
              </w:rPr>
            </w:pPr>
          </w:p>
        </w:tc>
        <w:tc>
          <w:tcPr>
            <w:tcW w:w="2220" w:type="dxa"/>
            <w:vAlign w:val="bottom"/>
            <w:gridSpan w:val="2"/>
          </w:tcPr>
          <w:p>
            <w:pPr>
              <w:ind w:left="440"/>
              <w:spacing w:after="0" w:line="158" w:lineRule="exact"/>
              <w:rPr>
                <w:sz w:val="20"/>
                <w:szCs w:val="20"/>
                <w:color w:val="auto"/>
              </w:rPr>
            </w:pPr>
            <w:r>
              <w:rPr>
                <w:rFonts w:ascii="Times New Roman" w:cs="Times New Roman" w:eastAsia="Times New Roman" w:hAnsi="Times New Roman"/>
                <w:sz w:val="14"/>
                <w:szCs w:val="14"/>
                <w:color w:val="auto"/>
              </w:rPr>
              <w:t>Incorporation</w:t>
            </w:r>
          </w:p>
        </w:tc>
        <w:tc>
          <w:tcPr>
            <w:tcW w:w="10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Securities Owned</w:t>
            </w:r>
          </w:p>
        </w:tc>
        <w:tc>
          <w:tcPr>
            <w:tcW w:w="0" w:type="dxa"/>
            <w:vAlign w:val="bottom"/>
          </w:tcPr>
          <w:p>
            <w:pPr>
              <w:spacing w:after="0"/>
              <w:rPr>
                <w:sz w:val="1"/>
                <w:szCs w:val="1"/>
                <w:color w:val="auto"/>
              </w:rPr>
            </w:pPr>
          </w:p>
        </w:tc>
      </w:tr>
      <w:tr>
        <w:trPr>
          <w:trHeight w:val="190"/>
        </w:trPr>
        <w:tc>
          <w:tcPr>
            <w:tcW w:w="77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Subsidiary of Landstar System, Inc.</w:t>
            </w:r>
          </w:p>
        </w:tc>
        <w:tc>
          <w:tcPr>
            <w:tcW w:w="1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System Holdings, Inc.</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 of Landstar System Holdings, Inc.</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Inway, Inc.</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Global Logistics,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Ligon, Inc.</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Ranger,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Management Claim Services, Inc.</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Transportation Logistics,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Also d/b/a Landstar Carrier Services, Inc.</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Contractor Financing,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 Insurance Company</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Cayman Islands, BWI</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Canada Holdings,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MH I LLC</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Blue LLC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Investment Holdco, LLC</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of Landstar Canada Holdings, Inc.</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Canada, Inc.</w:t>
            </w:r>
          </w:p>
        </w:tc>
        <w:tc>
          <w:tcPr>
            <w:tcW w:w="22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Ontario, Canada</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Also d/b/a Enterprise Landstar Canada in Quebec</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of Landstar Global Logistics, Inc.</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Express America,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of Landstar Ranger, Inc.</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Gemini, Inc.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Also d/b/a Landstar Less Than Truck Load</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Also d/b/a Landstar LTL</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of Landstar MH I LLC</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Landstar MH II LLC</w:t>
            </w:r>
          </w:p>
        </w:tc>
        <w:tc>
          <w:tcPr>
            <w:tcW w:w="22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Delaware</w:t>
            </w:r>
          </w:p>
        </w:tc>
        <w:tc>
          <w:tcPr>
            <w:tcW w:w="10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Holdings, S. de R.L.C.V.</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Mexico</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of Landstar MH II LLC</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Holdings, S. de R.L.C.V.</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Mexico</w:t>
            </w:r>
          </w:p>
        </w:tc>
        <w:tc>
          <w:tcPr>
            <w:tcW w:w="10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of Landstar Holdings, S. de R.L.C.V.</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Landstar Metro, S.A.P.I. de C.V.</w:t>
            </w:r>
          </w:p>
        </w:tc>
        <w:tc>
          <w:tcPr>
            <w:tcW w:w="2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Mexico</w:t>
            </w:r>
          </w:p>
        </w:tc>
        <w:tc>
          <w:tcPr>
            <w:tcW w:w="10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333-190411, No. 333-68454, No. 333-68452, No. 333-175890 and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No. 333-267538) on Form S-8 of our reports dated February 23, 2024, with respect to the consolidated financial statements of Landstar System, Inc. and the effectiveness of internal control over financial reporting.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020"/>
          </w:cols>
          <w:pgMar w:left="440" w:top="121" w:right="4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24.1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her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Homaira Akbari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Homaira Akbari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1020"/>
          </w:cols>
          <w:pgMar w:left="440" w:top="121"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G. Bannister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G. Bannister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0940"/>
          </w:cols>
          <w:pgMar w:left="440" w:top="270"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L.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 Liang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0940"/>
          </w:cols>
          <w:pgMar w:left="440" w:top="270"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her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Diana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M. Murphy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J.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J. Orlando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0940"/>
          </w:cols>
          <w:pgMar w:left="440" w:top="270"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P. Scanlon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0940"/>
          </w:cols>
          <w:pgMar w:left="440" w:top="270"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ended 12/30/23</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30, 2023,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her hand on the date indicated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Teresa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Teresa L. White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2024</w:t>
      </w:r>
    </w:p>
    <w:p>
      <w:pPr>
        <w:sectPr>
          <w:pgSz w:w="11900" w:h="16838" w:orient="portrait"/>
          <w:cols w:equalWidth="0" w:num="1">
            <w:col w:w="11000"/>
          </w:cols>
          <w:pgMar w:left="440" w:top="270" w:right="45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Frank A. Lonegro, certify that:</w:t>
      </w:r>
    </w:p>
    <w:p>
      <w:pPr>
        <w:spacing w:after="0" w:line="117" w:lineRule="exact"/>
        <w:rPr>
          <w:sz w:val="20"/>
          <w:szCs w:val="20"/>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Landstar System,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20" w:hanging="4"/>
        <w:spacing w:after="0" w:line="266" w:lineRule="auto"/>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 w:right="120" w:hanging="4"/>
        <w:spacing w:after="0" w:line="266" w:lineRule="auto"/>
        <w:tabs>
          <w:tab w:leader="none" w:pos="1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 w:right="80" w:hanging="4"/>
        <w:spacing w:after="0" w:line="282" w:lineRule="auto"/>
        <w:tabs>
          <w:tab w:leader="none" w:pos="1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 A. Lonegro</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P. Todd, certify that:</w:t>
      </w:r>
    </w:p>
    <w:p>
      <w:pPr>
        <w:spacing w:after="0" w:line="117" w:lineRule="exact"/>
        <w:rPr>
          <w:sz w:val="20"/>
          <w:szCs w:val="20"/>
          <w:color w:val="auto"/>
        </w:rPr>
      </w:pPr>
    </w:p>
    <w:p>
      <w:pPr>
        <w:ind w:left="184" w:hanging="184"/>
        <w:spacing w:after="0"/>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Landstar System,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20" w:hanging="4"/>
        <w:spacing w:after="0" w:line="266" w:lineRule="auto"/>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 w:right="120" w:hanging="4"/>
        <w:spacing w:after="0" w:line="266" w:lineRule="auto"/>
        <w:tabs>
          <w:tab w:leader="none" w:pos="1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 w:right="80" w:hanging="4"/>
        <w:spacing w:after="0" w:line="282" w:lineRule="auto"/>
        <w:tabs>
          <w:tab w:leader="none" w:pos="1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024"/>
          </w:cols>
          <w:pgMar w:left="436" w:top="121" w:right="4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Landstar System, Inc. (the “Company”) on Form 10-K for the period ending December 30, 2023, as filed with the Securities and Exchange Commission on the date hereof (the “Report”), I, Frank A. Lonegro,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 A. Lonegro</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024"/>
          </w:cols>
          <w:pgMar w:left="436" w:top="121" w:right="4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14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Landstar System, Inc. (the “Company”) on Form 10-K for the period ending December 30, 2023, as filed with the Securities and Exchange Commission on the date hereof (the “Report”), I, James P. Todd, Vice President, Chief Financial Officer and Assistant Secretary of the Company, certify pursuant to 18 U.S.C. Section 1350, as adopted pursuant to Section 906 of the Sarbanes-Oxley Act of 2002, that:</w:t>
      </w:r>
    </w:p>
    <w:p>
      <w:pPr>
        <w:spacing w:after="0" w:line="50"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804"/>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024"/>
          </w:cols>
          <w:pgMar w:left="436" w:top="121" w:right="4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LANDSTAR SYSTEM,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on August 10, 2023)</w:t>
      </w:r>
    </w:p>
    <w:p>
      <w:pPr>
        <w:spacing w:after="0" w:line="225" w:lineRule="exact"/>
        <w:rPr>
          <w:sz w:val="20"/>
          <w:szCs w:val="20"/>
          <w:color w:val="auto"/>
        </w:rPr>
      </w:pPr>
    </w:p>
    <w:p>
      <w:pPr>
        <w:ind w:left="444" w:right="40"/>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Landstar System, Inc. (the “Company”) believes that it is in the best interests of the Company and its shareholders to adopt this Clawback Policy (the “Policy”), which provides for the recovery of certain incentive compensation in the event of an Accounting Restatement (as defined below). This Policy is designed to comply with, and shall be interpreted to be consistent with, Section 10D of the Securities Exchange Act of 1934, as amended (the “Exchange Act”), Rule 10D-1 promulgated under the Exchange Act (“Rule 10D-1”) and Nasdaq Listing Rule 5608 (the “Listing Standards”).</w:t>
      </w:r>
    </w:p>
    <w:p>
      <w:pPr>
        <w:spacing w:after="0" w:line="328"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21" w:lineRule="exact"/>
        <w:rPr>
          <w:rFonts w:ascii="Times New Roman" w:cs="Times New Roman" w:eastAsia="Times New Roman" w:hAnsi="Times New Roman"/>
          <w:sz w:val="18"/>
          <w:szCs w:val="18"/>
          <w:b w:val="1"/>
          <w:bCs w:val="1"/>
          <w:color w:val="auto"/>
        </w:rPr>
      </w:pPr>
    </w:p>
    <w:p>
      <w:pPr>
        <w:ind w:left="444"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specifically set forth herein, this Policy shall be administered by the Board or, if so designated by the Board, a committee thereof (the Board or such committee charged with administration of this Policy, the “Administrator”).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or the Compensation Committee, as may be necessary or appropriate as to matters within the scope of such other committee’s responsibility and authority.</w:t>
      </w:r>
    </w:p>
    <w:p>
      <w:pPr>
        <w:spacing w:after="0" w:line="80" w:lineRule="exact"/>
        <w:rPr>
          <w:rFonts w:ascii="Times New Roman" w:cs="Times New Roman" w:eastAsia="Times New Roman" w:hAnsi="Times New Roman"/>
          <w:sz w:val="18"/>
          <w:szCs w:val="18"/>
          <w:b w:val="1"/>
          <w:bCs w:val="1"/>
          <w:color w:val="auto"/>
        </w:rPr>
      </w:pPr>
    </w:p>
    <w:p>
      <w:pPr>
        <w:ind w:left="4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Policy, the following definitions shall apply:</w:t>
      </w:r>
    </w:p>
    <w:p>
      <w:pPr>
        <w:spacing w:after="0" w:line="126" w:lineRule="exact"/>
        <w:rPr>
          <w:rFonts w:ascii="Times New Roman" w:cs="Times New Roman" w:eastAsia="Times New Roman" w:hAnsi="Times New Roman"/>
          <w:sz w:val="18"/>
          <w:szCs w:val="18"/>
          <w:b w:val="1"/>
          <w:bCs w:val="1"/>
          <w:color w:val="auto"/>
        </w:rPr>
      </w:pPr>
    </w:p>
    <w:p>
      <w:pPr>
        <w:jc w:val="both"/>
        <w:ind w:left="1424" w:right="80" w:hanging="331"/>
        <w:spacing w:after="0" w:line="282" w:lineRule="auto"/>
        <w:tabs>
          <w:tab w:leader="none" w:pos="142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Accounting Restatement</w:t>
      </w:r>
      <w:r>
        <w:rPr>
          <w:rFonts w:ascii="Times New Roman" w:cs="Times New Roman" w:eastAsia="Times New Roman" w:hAnsi="Times New Roman"/>
          <w:sz w:val="17"/>
          <w:szCs w:val="17"/>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66" w:lineRule="exact"/>
        <w:rPr>
          <w:rFonts w:ascii="Times New Roman" w:cs="Times New Roman" w:eastAsia="Times New Roman" w:hAnsi="Times New Roman"/>
          <w:sz w:val="17"/>
          <w:szCs w:val="17"/>
          <w:color w:val="auto"/>
        </w:rPr>
      </w:pPr>
    </w:p>
    <w:p>
      <w:pPr>
        <w:ind w:left="1424" w:hanging="331"/>
        <w:spacing w:after="0"/>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has the meaning set forth in Section 1 hereof.</w:t>
      </w:r>
    </w:p>
    <w:p>
      <w:pPr>
        <w:sectPr>
          <w:pgSz w:w="11900" w:h="16838" w:orient="portrait"/>
          <w:cols w:equalWidth="0" w:num="1">
            <w:col w:w="11024"/>
          </w:cols>
          <w:pgMar w:left="436" w:top="117" w:right="439" w:bottom="1440" w:gutter="0" w:footer="0" w:header="0"/>
        </w:sectPr>
      </w:pPr>
    </w:p>
    <w:bookmarkStart w:id="90" w:name="page91"/>
    <w:bookmarkEnd w:id="90"/>
    <w:p>
      <w:pPr>
        <w:ind w:left="420" w:hanging="331"/>
        <w:spacing w:after="0" w:line="255"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w:t>
      </w:r>
      <w:r>
        <w:rPr>
          <w:rFonts w:ascii="Times New Roman" w:cs="Times New Roman" w:eastAsia="Times New Roman" w:hAnsi="Times New Roman"/>
          <w:sz w:val="18"/>
          <w:szCs w:val="18"/>
          <w:b w:val="1"/>
          <w:bCs w:val="1"/>
          <w:color w:val="auto"/>
        </w:rPr>
        <w:t>date on which the Company is required to prepare an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is the earlier to occur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date the Audit Committee of the Board concludes, or reasonably should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concluded, that the Company is required to prepare an Accounting Restatement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date a court, regulator or other legally authorized body directs the Company to prepare an Accounting Restatement, in each case regardless of if or when the restated financial statements are filed.</w:t>
      </w:r>
    </w:p>
    <w:p>
      <w:pPr>
        <w:spacing w:after="0" w:line="90" w:lineRule="exact"/>
        <w:rPr>
          <w:rFonts w:ascii="Times New Roman" w:cs="Times New Roman" w:eastAsia="Times New Roman" w:hAnsi="Times New Roman"/>
          <w:sz w:val="18"/>
          <w:szCs w:val="18"/>
          <w:color w:val="auto"/>
        </w:rPr>
      </w:pPr>
    </w:p>
    <w:p>
      <w:pPr>
        <w:ind w:left="420" w:right="680" w:hanging="331"/>
        <w:spacing w:after="0" w:line="286"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 means the Company’s current and former executive officers, as determined by the Administrator in accordance with the definition of executive officer set forth in Rule 10D-1 and the Listing Standards.</w:t>
      </w:r>
    </w:p>
    <w:p>
      <w:pPr>
        <w:spacing w:after="0" w:line="60"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has the meaning set forth in Section 5 of this Policy.</w:t>
      </w:r>
    </w:p>
    <w:p>
      <w:pPr>
        <w:spacing w:after="0" w:line="130" w:lineRule="exact"/>
        <w:rPr>
          <w:rFonts w:ascii="Times New Roman" w:cs="Times New Roman" w:eastAsia="Times New Roman" w:hAnsi="Times New Roman"/>
          <w:sz w:val="18"/>
          <w:szCs w:val="18"/>
          <w:color w:val="auto"/>
        </w:rPr>
      </w:pPr>
    </w:p>
    <w:p>
      <w:pPr>
        <w:ind w:left="420" w:hanging="331"/>
        <w:spacing w:after="0" w:line="253"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(“TSR”); revenue; variable contribution; operating income; net income; profitability of one or more reportable segments, divisions or companies; financial ratios (e.g., variable contribution margin and operating margin); certain costs (which may include other operating costs, insurance and claims costs, selling, general and administrative costs and/or depreciation and amortization costs) in gross dollars and/or as a percentage of revenue, variable contribution, gross profit or operating income; earnings before interest, taxes, depreciation and amortization (“EBITDA”); liquidity measures (e.g., working capital, operating cash flow); return measures (e.g., return on invested capital, return on assets); earnings measures (e.g., diluted earnings per share); any of such financial reporting measures relative to a peer group, where the Company’s financial reporting measure is subject to an Accounting Restatement; and any of such financial reporting measures on a pre-tax or after-tax basis. A Financial Reporting Measure need not be presented within the Company’s financial statements or included in a filing with the Securities Exchange Commission.</w:t>
      </w:r>
    </w:p>
    <w:p>
      <w:pPr>
        <w:spacing w:after="0" w:line="92" w:lineRule="exact"/>
        <w:rPr>
          <w:rFonts w:ascii="Times New Roman" w:cs="Times New Roman" w:eastAsia="Times New Roman" w:hAnsi="Times New Roman"/>
          <w:sz w:val="18"/>
          <w:szCs w:val="18"/>
          <w:color w:val="auto"/>
        </w:rPr>
      </w:pPr>
    </w:p>
    <w:p>
      <w:pPr>
        <w:ind w:left="420" w:right="260" w:hanging="331"/>
        <w:spacing w:after="0" w:line="262"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ectPr>
          <w:pgSz w:w="11900" w:h="16838" w:orient="portrait"/>
          <w:cols w:equalWidth="0" w:num="1">
            <w:col w:w="9940"/>
          </w:cols>
          <w:pgMar w:left="1440" w:top="266" w:right="519" w:bottom="1440" w:gutter="0" w:footer="0" w:header="0"/>
        </w:sectPr>
      </w:pPr>
    </w:p>
    <w:bookmarkStart w:id="91" w:name="page92"/>
    <w:bookmarkEnd w:id="91"/>
    <w:p>
      <w:pPr>
        <w:ind w:left="1424" w:hanging="331"/>
        <w:spacing w:after="0"/>
        <w:tabs>
          <w:tab w:leader="none" w:pos="1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Executives; Incentive-Based Compensation</w:t>
      </w:r>
    </w:p>
    <w:p>
      <w:pPr>
        <w:spacing w:after="0" w:line="121" w:lineRule="exact"/>
        <w:rPr>
          <w:sz w:val="20"/>
          <w:szCs w:val="20"/>
          <w:color w:val="auto"/>
        </w:rPr>
      </w:pPr>
    </w:p>
    <w:p>
      <w:pPr>
        <w:jc w:val="both"/>
        <w:ind w:left="984" w:right="740"/>
        <w:spacing w:after="0" w:line="266" w:lineRule="auto"/>
        <w:rPr>
          <w:sz w:val="20"/>
          <w:szCs w:val="20"/>
          <w:color w:val="auto"/>
        </w:rPr>
      </w:pPr>
      <w:r>
        <w:rPr>
          <w:rFonts w:ascii="Times New Roman" w:cs="Times New Roman" w:eastAsia="Times New Roman" w:hAnsi="Times New Roman"/>
          <w:sz w:val="18"/>
          <w:szCs w:val="18"/>
          <w:color w:val="auto"/>
        </w:rPr>
        <w:t>This Policy applies to Incentive-Based Compensation received by a Covered Executive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after beginning services as a Covered Executive;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that person served as a Covered Executive at any time during the performance period for such Incentive-Based Compensation;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while the Company had a listed class of securities on a national securities exchange.</w:t>
      </w:r>
    </w:p>
    <w:p>
      <w:pPr>
        <w:spacing w:after="0" w:line="320"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Recoupment of Erroneously Awarded Compensation in the Event of an Accounting Restatement</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the event the Company is required to prepare an Accounting Restatement, the Company shall promptly recoup the amount of any Erroneously Awarded Compensation received by any Covered Executive, as calculated pursuant to Section 5 hereof, during the Applicable Period.</w:t>
      </w:r>
    </w:p>
    <w:p>
      <w:pPr>
        <w:spacing w:after="0" w:line="28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Erroneously Awarded Compensation: Amount Subject to Recovery</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“Erroneously Awarded Compensation” 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w:t>
      </w:r>
    </w:p>
    <w:p>
      <w:pPr>
        <w:spacing w:after="0" w:line="67"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Erroneously Awarded Compensation shall be computed by the Administrator without regard to any taxes paid by the Covered Executive in respect of the Erroneously Awarded Compensation.</w:t>
      </w:r>
    </w:p>
    <w:p>
      <w:pPr>
        <w:spacing w:after="0" w:line="53" w:lineRule="exact"/>
        <w:rPr>
          <w:rFonts w:ascii="Times New Roman" w:cs="Times New Roman" w:eastAsia="Times New Roman" w:hAnsi="Times New Roman"/>
          <w:sz w:val="18"/>
          <w:szCs w:val="18"/>
          <w:b w:val="1"/>
          <w:bCs w:val="1"/>
          <w:color w:val="auto"/>
        </w:rPr>
      </w:pPr>
    </w:p>
    <w:p>
      <w:pPr>
        <w:ind w:left="444"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67" w:lineRule="exact"/>
        <w:rPr>
          <w:rFonts w:ascii="Times New Roman" w:cs="Times New Roman" w:eastAsia="Times New Roman" w:hAnsi="Times New Roman"/>
          <w:sz w:val="18"/>
          <w:szCs w:val="18"/>
          <w:b w:val="1"/>
          <w:bCs w:val="1"/>
          <w:color w:val="auto"/>
        </w:rPr>
      </w:pPr>
    </w:p>
    <w:p>
      <w:pPr>
        <w:ind w:left="444"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Incentive-Based Compensation based on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Nasdaq Stock Market (“Nasdaq”).</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Recoupment</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w:t>
      </w:r>
    </w:p>
    <w:p>
      <w:pPr>
        <w:sectPr>
          <w:pgSz w:w="11900" w:h="16838" w:orient="portrait"/>
          <w:cols w:equalWidth="0" w:num="1">
            <w:col w:w="11004"/>
          </w:cols>
          <w:pgMar w:left="436" w:top="266" w:right="459" w:bottom="1440" w:gutter="0" w:footer="0" w:header="0"/>
        </w:sectPr>
      </w:pPr>
    </w:p>
    <w:bookmarkStart w:id="92" w:name="page93"/>
    <w:bookmarkEnd w:id="92"/>
    <w:p>
      <w:pPr>
        <w:jc w:val="both"/>
        <w:ind w:left="444"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spacing w:after="0" w:line="68" w:lineRule="exact"/>
        <w:rPr>
          <w:sz w:val="20"/>
          <w:szCs w:val="20"/>
          <w:color w:val="auto"/>
        </w:rPr>
      </w:pPr>
    </w:p>
    <w:p>
      <w:pPr>
        <w:ind w:left="444" w:right="220"/>
        <w:spacing w:after="0" w:line="266" w:lineRule="auto"/>
        <w:rPr>
          <w:sz w:val="20"/>
          <w:szCs w:val="20"/>
          <w:color w:val="auto"/>
        </w:rPr>
      </w:pPr>
      <w:r>
        <w:rPr>
          <w:rFonts w:ascii="Times New Roman" w:cs="Times New Roman" w:eastAsia="Times New Roman" w:hAnsi="Times New Roman"/>
          <w:sz w:val="18"/>
          <w:szCs w:val="18"/>
          <w:color w:val="auto"/>
        </w:rPr>
        <w:t>The Company is authorized and directed pursuant to this Policy to recoup Erroneously Awarded Compensation in compliance with this Policy unless the Compensation Committee of the Board has determined that recovery would be impracticable solely for the following limited reasons, and subject to the following procedural and disclosure requirements:</w:t>
      </w:r>
    </w:p>
    <w:p>
      <w:pPr>
        <w:spacing w:after="0" w:line="81" w:lineRule="exact"/>
        <w:rPr>
          <w:sz w:val="20"/>
          <w:szCs w:val="20"/>
          <w:color w:val="auto"/>
        </w:rPr>
      </w:pPr>
    </w:p>
    <w:p>
      <w:pPr>
        <w:ind w:left="1424" w:hanging="331"/>
        <w:spacing w:after="0" w:line="261" w:lineRule="auto"/>
        <w:tabs>
          <w:tab w:leader="none" w:pos="14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Nasdaq;</w:t>
      </w:r>
    </w:p>
    <w:p>
      <w:pPr>
        <w:spacing w:after="0" w:line="85" w:lineRule="exact"/>
        <w:rPr>
          <w:rFonts w:ascii="Times New Roman" w:cs="Times New Roman" w:eastAsia="Times New Roman" w:hAnsi="Times New Roman"/>
          <w:sz w:val="18"/>
          <w:szCs w:val="18"/>
          <w:color w:val="auto"/>
        </w:rPr>
      </w:pPr>
    </w:p>
    <w:p>
      <w:pPr>
        <w:ind w:left="1424" w:right="120" w:hanging="331"/>
        <w:spacing w:after="0" w:line="282" w:lineRule="auto"/>
        <w:tabs>
          <w:tab w:leader="none" w:pos="14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of Covered Executives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terms of any indemnification or insurance policy or any contractual arrangement 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Administrator Indemnification</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Members of the Board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Retroactive Application</w:t>
      </w:r>
    </w:p>
    <w:p>
      <w:pPr>
        <w:spacing w:after="0" w:line="117" w:lineRule="exact"/>
        <w:rPr>
          <w:rFonts w:ascii="Times New Roman" w:cs="Times New Roman" w:eastAsia="Times New Roman" w:hAnsi="Times New Roman"/>
          <w:sz w:val="18"/>
          <w:szCs w:val="18"/>
          <w:b w:val="1"/>
          <w:bCs w:val="1"/>
          <w:color w:val="auto"/>
        </w:rPr>
      </w:pPr>
    </w:p>
    <w:p>
      <w:pPr>
        <w:ind w:left="444"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shall be effective as of October 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affect recovery under this Policy from any amount of compensation approved, awarded, granted, payable or paid to the Covered Executive prior to, on or after the Effective Date.</w:t>
      </w:r>
    </w:p>
    <w:p>
      <w:pPr>
        <w:sectPr>
          <w:pgSz w:w="11900" w:h="16838" w:orient="portrait"/>
          <w:cols w:equalWidth="0" w:num="1">
            <w:col w:w="11024"/>
          </w:cols>
          <w:pgMar w:left="436" w:top="270" w:right="439" w:bottom="1440" w:gutter="0" w:footer="0" w:header="0"/>
        </w:sectPr>
      </w:pPr>
    </w:p>
    <w:bookmarkStart w:id="93" w:name="page94"/>
    <w:bookmarkEnd w:id="93"/>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Termination</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Recoupment Rights; Company Claims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spacing w:after="0" w:line="71" w:lineRule="exact"/>
        <w:rPr>
          <w:rFonts w:ascii="Times New Roman" w:cs="Times New Roman" w:eastAsia="Times New Roman" w:hAnsi="Times New Roman"/>
          <w:sz w:val="18"/>
          <w:szCs w:val="18"/>
          <w:b w:val="1"/>
          <w:bCs w:val="1"/>
          <w:color w:val="auto"/>
        </w:rPr>
      </w:pPr>
    </w:p>
    <w:p>
      <w:pPr>
        <w:ind w:left="444"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Policy, and no recoupment or recovery as contemplated by this Policy, shall limit any claims, damages or other legal remedies the Company or any of its affiliates may have against a Covered Executive arising out of or resulting from any actions or omissions by the Covered Executive.</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Filing Requirement</w:t>
      </w:r>
    </w:p>
    <w:p>
      <w:pPr>
        <w:spacing w:after="0" w:line="121" w:lineRule="exact"/>
        <w:rPr>
          <w:rFonts w:ascii="Times New Roman" w:cs="Times New Roman" w:eastAsia="Times New Roman" w:hAnsi="Times New Roman"/>
          <w:sz w:val="18"/>
          <w:szCs w:val="18"/>
          <w:b w:val="1"/>
          <w:bCs w:val="1"/>
          <w:color w:val="auto"/>
        </w:rPr>
      </w:pPr>
    </w:p>
    <w:p>
      <w:pPr>
        <w:ind w:left="444"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this Policy and any amendments thereto shall be posted on the Company’s website and filed as an exhibit to the Company’s annual report on Form 10-K.</w:t>
      </w:r>
    </w:p>
    <w:sectPr>
      <w:pgSz w:w="11900" w:h="16838" w:orient="portrait"/>
      <w:cols w:equalWidth="0" w:num="1">
        <w:col w:w="10924"/>
      </w:cols>
      <w:pgMar w:left="436"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lowerRoman"/>
      <w:start w:val="3"/>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lowerRoman"/>
      <w:start w:val="2"/>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1)"/>
      <w:numFmt w:val="decimal"/>
      <w:start w:val="3"/>
    </w:lvl>
  </w:abstractNum>
  <w:abstractNum w:abstractNumId="15">
    <w:nsid w:val="8138641"/>
    <w:multiLevelType w:val="hybridMultilevel"/>
    <w:lvl w:ilvl="0">
      <w:lvlJc w:val="left"/>
      <w:lvlText w:val="(%1)"/>
      <w:numFmt w:val="decimal"/>
      <w:start w:val="4"/>
    </w:lvl>
  </w:abstractNum>
  <w:abstractNum w:abstractNumId="16">
    <w:nsid w:val="1E7FF521"/>
    <w:multiLevelType w:val="hybridMultilevel"/>
    <w:lvl w:ilvl="0">
      <w:lvlJc w:val="left"/>
      <w:lvlText w:val="(%1)"/>
      <w:numFmt w:val="decimal"/>
      <w:start w:val="10"/>
    </w:lvl>
  </w:abstractNum>
  <w:abstractNum w:abstractNumId="17">
    <w:nsid w:val="7C3DBD3D"/>
    <w:multiLevelType w:val="hybridMultilevel"/>
    <w:lvl w:ilvl="0">
      <w:lvlJc w:val="left"/>
      <w:lvlText w:val="(%1)"/>
      <w:numFmt w:val="decimal"/>
      <w:start w:val="21"/>
    </w:lvl>
  </w:abstractNum>
  <w:abstractNum w:abstractNumId="18">
    <w:nsid w:val="737B8DDC"/>
    <w:multiLevelType w:val="hybridMultilevel"/>
    <w:lvl w:ilvl="0">
      <w:lvlJc w:val="left"/>
      <w:lvlText w:val="(%1)"/>
      <w:numFmt w:val="decimal"/>
      <w:start w:val="23"/>
    </w:lvl>
  </w:abstractNum>
  <w:abstractNum w:abstractNumId="19">
    <w:nsid w:val="6CEAF087"/>
    <w:multiLevelType w:val="hybridMultilevel"/>
    <w:lvl w:ilvl="0">
      <w:lvlJc w:val="left"/>
      <w:lvlText w:val="(%1)"/>
      <w:numFmt w:val="decimal"/>
      <w:start w:val="24"/>
    </w:lvl>
  </w:abstractNum>
  <w:abstractNum w:abstractNumId="20">
    <w:nsid w:val="22221A70"/>
    <w:multiLevelType w:val="hybridMultilevel"/>
    <w:lvl w:ilvl="0">
      <w:lvlJc w:val="left"/>
      <w:lvlText w:val="(%1)"/>
      <w:numFmt w:val="decimal"/>
      <w:start w:val="31"/>
    </w:lvl>
  </w:abstractNum>
  <w:abstractNum w:abstractNumId="21">
    <w:nsid w:val="4516DDE9"/>
    <w:multiLevelType w:val="hybridMultilevel"/>
    <w:lvl w:ilvl="0">
      <w:lvlJc w:val="left"/>
      <w:lvlText w:val="(%1)"/>
      <w:numFmt w:val="decimal"/>
      <w:start w:val="32"/>
    </w:lvl>
  </w:abstractNum>
  <w:abstractNum w:abstractNumId="22">
    <w:nsid w:val="3006C83E"/>
    <w:multiLevelType w:val="hybridMultilevel"/>
    <w:lvl w:ilvl="0">
      <w:lvlJc w:val="left"/>
      <w:lvlText w:val="(%1)"/>
      <w:numFmt w:val="lowerRoman"/>
      <w:start w:val="3"/>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lvl w:ilvl="1">
      <w:lvlJc w:val="left"/>
      <w:lvlText w:val="%2."/>
      <w:numFmt w:val="lowerLetter"/>
      <w:start w:val="1"/>
    </w:lvl>
  </w:abstractNum>
  <w:abstractNum w:abstractNumId="25">
    <w:nsid w:val="5577F8E1"/>
    <w:multiLevelType w:val="hybridMultilevel"/>
    <w:lvl w:ilvl="0">
      <w:lvlJc w:val="left"/>
      <w:lvlText w:val="%1."/>
      <w:numFmt w:val="decimal"/>
      <w:start w:val="4"/>
    </w:lvl>
  </w:abstractNum>
  <w:abstractNum w:abstractNumId="26">
    <w:nsid w:val="440BADFC"/>
    <w:multiLevelType w:val="hybridMultilevel"/>
    <w:lvl w:ilvl="0">
      <w:lvlJc w:val="left"/>
      <w:lvlText w:val="%1."/>
      <w:numFmt w:val="decimal"/>
      <w:start w:val="6"/>
    </w:lvl>
  </w:abstractNum>
  <w:abstractNum w:abstractNumId="27">
    <w:nsid w:val="5072367"/>
    <w:multiLevelType w:val="hybridMultilevel"/>
    <w:lvl w:ilvl="0">
      <w:lvlJc w:val="left"/>
      <w:lvlText w:val="%1."/>
      <w:numFmt w:val="decimal"/>
      <w:start w:val="7"/>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decimal"/>
      <w:start w:val="5"/>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5"/>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lvl w:ilvl="1">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3"/>
    </w:lvl>
  </w:abstractNum>
  <w:abstractNum w:abstractNumId="42">
    <w:nsid w:val="1D4ED43B"/>
    <w:multiLevelType w:val="hybridMultilevel"/>
    <w:lvl w:ilvl="0">
      <w:lvlJc w:val="left"/>
      <w:lvlText w:val="%1."/>
      <w:numFmt w:val="decimal"/>
      <w:start w:val="5"/>
    </w:lvl>
    <w:lvl w:ilvl="1">
      <w:lvlJc w:val="left"/>
      <w:lvlText w:val="•"/>
      <w:numFmt w:val="bullet"/>
      <w:start w:val="1"/>
    </w:lvl>
  </w:abstractNum>
  <w:abstractNum w:abstractNumId="43">
    <w:nsid w:val="725A06F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3"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87" Type="http://schemas.openxmlformats.org/officeDocument/2006/relationships/hyperlink" Target="http://www.sec.gov/Archives/edgar/data/853816/000119312523141775/d361941dex31.htm" TargetMode="External"/><Relationship Id="rId88" Type="http://schemas.openxmlformats.org/officeDocument/2006/relationships/hyperlink" Target="http://www.sec.gov/Archives/edgar/data/853816/000119312523270269/d468811dex31.htm" TargetMode="External"/><Relationship Id="rId89" Type="http://schemas.openxmlformats.org/officeDocument/2006/relationships/hyperlink" Target="http://www.sec.gov/Archives/edgar/data/853816/000119312520044766/d837995dex44.htm" TargetMode="External"/><Relationship Id="rId90" Type="http://schemas.openxmlformats.org/officeDocument/2006/relationships/hyperlink" Target="http://www.sec.gov/Archives/edgar/data/853816/000119312522190069/d344416dex101.htm" TargetMode="External"/><Relationship Id="rId91" Type="http://schemas.openxmlformats.org/officeDocument/2006/relationships/hyperlink" Target="http://www.sec.gov/Archives/edgar/data/853816/000119312515056671/d836695dex102.htm" TargetMode="External"/><Relationship Id="rId92" Type="http://schemas.openxmlformats.org/officeDocument/2006/relationships/hyperlink" Target="http://www.sec.gov/Archives/edgar/data/853816/000119312519048217/d671477dex103.htm" TargetMode="External"/><Relationship Id="rId94" Type="http://schemas.openxmlformats.org/officeDocument/2006/relationships/hyperlink" Target="http://www.sec.gov/Archives/edgar/data/853816/000119312523270269/d468811dex101.htm" TargetMode="External"/><Relationship Id="rId95" Type="http://schemas.openxmlformats.org/officeDocument/2006/relationships/hyperlink" Target="http://www.sec.gov/Archives/edgar/data/853816/000119312522087519/d254247ddef14a.htm" TargetMode="External"/><Relationship Id="rId96" Type="http://schemas.openxmlformats.org/officeDocument/2006/relationships/hyperlink" Target="http://www.sec.gov/Archives/edgar/data/853816/000095014404001973/g87318exv10w2.htm" TargetMode="External"/><Relationship Id="rId97" Type="http://schemas.openxmlformats.org/officeDocument/2006/relationships/hyperlink" Target="http://www.sec.gov/Archives/edgar/data/853816/000119312516469941/d105822dex1012.htm" TargetMode="External"/><Relationship Id="rId98" Type="http://schemas.openxmlformats.org/officeDocument/2006/relationships/hyperlink" Target="http://www.sec.gov/Archives/edgar/data/853816/000119312523052365/d466270dex991.htm" TargetMode="External"/><Relationship Id="rId99" Type="http://schemas.openxmlformats.org/officeDocument/2006/relationships/hyperlink" Target="http://www.sec.gov/Archives/edgar/data/853816/000119312523288872/d613753dex991.htm" TargetMode="External"/><Relationship Id="rId100" Type="http://schemas.openxmlformats.org/officeDocument/2006/relationships/hyperlink" Target="http://www.sec.gov/Archives/edgar/data/853816/000119312523288872/d613753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2024-02-26T05:22:48Z</dcterms:created>
  <dcterms:modified xsi:type="dcterms:W3CDTF">2024-02-26T05:22:48Z</dcterms:modified>
</cp:coreProperties>
</file>