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24, 2022</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1234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1234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70" w:orient="portrait"/>
          <w:cols w:equalWidth="0" w:num="1">
            <w:col w:w="11140"/>
          </w:cols>
          <w:pgMar w:left="320" w:top="226"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06-1313069</w:t>
      </w:r>
    </w:p>
    <w:p>
      <w:pPr>
        <w:spacing w:after="0" w:line="12" w:lineRule="exact"/>
        <w:rPr>
          <w:sz w:val="24"/>
          <w:szCs w:val="24"/>
          <w:color w:val="auto"/>
        </w:rPr>
      </w:pPr>
    </w:p>
    <w:p>
      <w:pPr>
        <w:sectPr>
          <w:pgSz w:w="11900" w:h="16870" w:orient="portrait"/>
          <w:cols w:equalWidth="0" w:num="2">
            <w:col w:w="7300" w:space="720"/>
            <w:col w:w="3120"/>
          </w:cols>
          <w:pgMar w:left="320" w:top="226" w:right="439" w:bottom="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70" w:orient="portrait"/>
          <w:cols w:equalWidth="0" w:num="2">
            <w:col w:w="7180" w:space="720"/>
            <w:col w:w="3240"/>
          </w:cols>
          <w:pgMar w:left="320" w:top="226" w:right="439" w:bottom="0" w:gutter="0" w:footer="0" w:header="0"/>
          <w:type w:val="continuous"/>
        </w:sectPr>
      </w:pP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13410 Sutton Park Drive South, Jacksonville, Florida</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32224</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(904) 398-9400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70" w:orient="portrait"/>
          <w:cols w:equalWidth="0" w:num="1">
            <w:col w:w="11140"/>
          </w:cols>
          <w:pgMar w:left="320" w:top="226" w:right="439" w:bottom="0" w:gutter="0" w:footer="0" w:header="0"/>
          <w:type w:val="continuous"/>
        </w:sectPr>
      </w:pP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LSTR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120"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70" w:orient="portrait"/>
          <w:cols w:equalWidth="0" w:num="1">
            <w:col w:w="11140"/>
          </w:cols>
          <w:pgMar w:left="320" w:top="226" w:right="439" w:bottom="0" w:gutter="0" w:footer="0" w:header="0"/>
          <w:type w:val="continuous"/>
        </w:sectPr>
      </w:pPr>
    </w:p>
    <w:bookmarkStart w:id="1" w:name="page2"/>
    <w:bookmarkEnd w:id="1"/>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14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outstanding as of the close of business on October 17, 2022 was 35,925,265.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color w:val="auto"/>
                <w:w w:val="97"/>
              </w:rPr>
              <w:t>Index</w:t>
            </w:r>
          </w:p>
        </w:tc>
        <w:tc>
          <w:tcPr>
            <w:tcW w:w="7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gridSpan w:val="9"/>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 xml:space="preserve">PART I </w:t>
            </w:r>
            <w:r>
              <w:rPr>
                <w:rFonts w:ascii="Times New Roman" w:cs="Times New Roman" w:eastAsia="Times New Roman" w:hAnsi="Times New Roman"/>
                <w:sz w:val="18"/>
                <w:szCs w:val="18"/>
                <w:color w:val="auto"/>
                <w:w w:val="99"/>
              </w:rPr>
              <w:t>– Financial Information</w:t>
            </w:r>
          </w:p>
        </w:tc>
        <w:tc>
          <w:tcPr>
            <w:tcW w:w="76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966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Sheets as of September 24, 2022 and December 25,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Thirty Nine and Thirteen Weeks Ended September 24, 2022 and September 25, 2021</w:t>
            </w:r>
          </w:p>
        </w:tc>
        <w:tc>
          <w:tcPr>
            <w:tcW w:w="9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5</w:t>
            </w:r>
          </w:p>
        </w:tc>
      </w:tr>
      <w:tr>
        <w:trPr>
          <w:trHeight w:val="304"/>
        </w:trPr>
        <w:tc>
          <w:tcPr>
            <w:tcW w:w="1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Thirty Nine and Thirteen Weeks Ended September 24, 2022 and September 25,</w:t>
            </w:r>
          </w:p>
        </w:tc>
        <w:tc>
          <w:tcPr>
            <w:tcW w:w="7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Page 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Thirty Nine Weeks Ended September 24, 2022 and September 25,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7</w:t>
            </w: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Thirty Nine and Thirteen Weeks Ended September 24, 2022 and</w:t>
            </w:r>
          </w:p>
        </w:tc>
        <w:tc>
          <w:tcPr>
            <w:tcW w:w="7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25, 2021</w:t>
            </w:r>
          </w:p>
        </w:tc>
        <w:tc>
          <w:tcPr>
            <w:tcW w:w="7940" w:type="dxa"/>
            <w:vAlign w:val="bottom"/>
            <w:tcBorders>
              <w:top w:val="single" w:sz="8" w:color="0000EE"/>
            </w:tcBorders>
            <w:gridSpan w:val="10"/>
          </w:tcPr>
          <w:p>
            <w:pPr>
              <w:spacing w:after="0"/>
              <w:rPr>
                <w:sz w:val="17"/>
                <w:szCs w:val="17"/>
                <w:color w:val="auto"/>
              </w:rPr>
            </w:pPr>
          </w:p>
        </w:tc>
        <w:tc>
          <w:tcPr>
            <w:tcW w:w="62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Page 8</w:t>
            </w:r>
          </w:p>
        </w:tc>
      </w:tr>
      <w:tr>
        <w:trPr>
          <w:trHeight w:val="304"/>
        </w:trPr>
        <w:tc>
          <w:tcPr>
            <w:tcW w:w="1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10</w:t>
            </w: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2.</w:t>
            </w:r>
          </w:p>
        </w:tc>
        <w:tc>
          <w:tcPr>
            <w:tcW w:w="6500" w:type="dxa"/>
            <w:vAlign w:val="bottom"/>
            <w:tcBorders>
              <w:bottom w:val="single" w:sz="8" w:color="0000EE"/>
            </w:tcBorders>
            <w:gridSpan w:val="12"/>
          </w:tcPr>
          <w:p>
            <w:pPr>
              <w:ind w:left="40"/>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19</w:t>
            </w:r>
          </w:p>
        </w:tc>
      </w:tr>
      <w:tr>
        <w:trPr>
          <w:trHeight w:val="304"/>
        </w:trPr>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3.</w:t>
            </w:r>
          </w:p>
        </w:tc>
        <w:tc>
          <w:tcPr>
            <w:tcW w:w="4400" w:type="dxa"/>
            <w:vAlign w:val="bottom"/>
            <w:tcBorders>
              <w:bottom w:val="single" w:sz="8" w:color="0000EE"/>
            </w:tcBorders>
            <w:gridSpan w:val="10"/>
          </w:tcPr>
          <w:p>
            <w:pPr>
              <w:ind w:left="40"/>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32</w:t>
            </w:r>
          </w:p>
        </w:tc>
      </w:tr>
      <w:tr>
        <w:trPr>
          <w:trHeight w:val="304"/>
        </w:trPr>
        <w:tc>
          <w:tcPr>
            <w:tcW w:w="1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4.</w:t>
            </w:r>
          </w:p>
        </w:tc>
        <w:tc>
          <w:tcPr>
            <w:tcW w:w="966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33</w:t>
            </w:r>
          </w:p>
        </w:tc>
      </w:tr>
      <w:tr>
        <w:trPr>
          <w:trHeight w:val="453"/>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gridSpan w:val="9"/>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PART II – </w:t>
            </w:r>
            <w:r>
              <w:rPr>
                <w:rFonts w:ascii="Times New Roman" w:cs="Times New Roman" w:eastAsia="Times New Roman" w:hAnsi="Times New Roman"/>
                <w:sz w:val="18"/>
                <w:szCs w:val="18"/>
                <w:color w:val="auto"/>
              </w:rPr>
              <w:t>Other Information</w:t>
            </w:r>
          </w:p>
        </w:tc>
        <w:tc>
          <w:tcPr>
            <w:tcW w:w="7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1.</w:t>
            </w:r>
          </w:p>
        </w:tc>
        <w:tc>
          <w:tcPr>
            <w:tcW w:w="138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33</w:t>
            </w:r>
          </w:p>
        </w:tc>
      </w:tr>
      <w:tr>
        <w:trPr>
          <w:trHeight w:val="304"/>
        </w:trPr>
        <w:tc>
          <w:tcPr>
            <w:tcW w:w="12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1A. </w:t>
            </w:r>
            <w:r>
              <w:rPr>
                <w:rFonts w:ascii="Times New Roman" w:cs="Times New Roman" w:eastAsia="Times New Roman" w:hAnsi="Times New Roman"/>
                <w:sz w:val="18"/>
                <w:szCs w:val="18"/>
                <w:color w:val="0000EE"/>
                <w:w w:val="98"/>
              </w:rPr>
              <w:t>Risk Factors</w:t>
            </w:r>
          </w:p>
        </w:tc>
        <w:tc>
          <w:tcPr>
            <w:tcW w:w="858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33</w:t>
            </w:r>
          </w:p>
        </w:tc>
      </w:tr>
      <w:tr>
        <w:trPr>
          <w:trHeight w:val="304"/>
        </w:trPr>
        <w:tc>
          <w:tcPr>
            <w:tcW w:w="1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2.</w:t>
            </w:r>
          </w:p>
        </w:tc>
        <w:tc>
          <w:tcPr>
            <w:tcW w:w="966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34</w:t>
            </w:r>
          </w:p>
        </w:tc>
      </w:tr>
      <w:tr>
        <w:trPr>
          <w:trHeight w:val="304"/>
        </w:trPr>
        <w:tc>
          <w:tcPr>
            <w:tcW w:w="12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Item 6.</w:t>
            </w:r>
          </w:p>
        </w:tc>
        <w:tc>
          <w:tcPr>
            <w:tcW w:w="4380" w:type="dxa"/>
            <w:vAlign w:val="bottom"/>
            <w:tcBorders>
              <w:top w:val="single" w:sz="8" w:color="0000EE"/>
            </w:tcBorders>
            <w:gridSpan w:val="9"/>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528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34</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20" w:type="dxa"/>
            <w:vAlign w:val="bottom"/>
            <w:tcBorders>
              <w:top w:val="single" w:sz="8" w:color="0000EE"/>
            </w:tcBorders>
          </w:tcPr>
          <w:p>
            <w:pPr>
              <w:spacing w:after="0"/>
              <w:rPr>
                <w:sz w:val="24"/>
                <w:szCs w:val="24"/>
                <w:color w:val="auto"/>
              </w:rPr>
            </w:pPr>
          </w:p>
        </w:tc>
        <w:tc>
          <w:tcPr>
            <w:tcW w:w="902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36</w:t>
            </w:r>
          </w:p>
        </w:tc>
      </w:tr>
      <w:tr>
        <w:trPr>
          <w:trHeight w:val="223"/>
        </w:trPr>
        <w:tc>
          <w:tcPr>
            <w:tcW w:w="1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EX – 31.1 Section 302 CEO Certification</w:t>
            </w:r>
          </w:p>
        </w:tc>
        <w:tc>
          <w:tcPr>
            <w:tcW w:w="7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9"/>
            <w:shd w:val="clear" w:color="auto" w:fill="0000EE"/>
          </w:tcPr>
          <w:p>
            <w:pPr>
              <w:spacing w:after="0" w:line="20" w:lineRule="exact"/>
              <w:rPr>
                <w:sz w:val="1"/>
                <w:szCs w:val="1"/>
                <w:color w:val="auto"/>
              </w:rPr>
            </w:pPr>
          </w:p>
        </w:tc>
        <w:tc>
          <w:tcPr>
            <w:tcW w:w="782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EX – 31.2 Section 302 CFO Certification</w:t>
            </w:r>
          </w:p>
        </w:tc>
        <w:tc>
          <w:tcPr>
            <w:tcW w:w="7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u w:val="single" w:color="auto"/>
          <w:color w:val="0000EE"/>
        </w:rPr>
        <w:t>EX – 32.1 Section 906 CEO Certification</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EE"/>
        </w:rPr>
        <w:t>EX – 32.2 Section 906 CFO Certification</w:t>
      </w:r>
    </w:p>
    <w:p>
      <w:pPr>
        <w:spacing w:after="0" w:line="1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7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PART I - </w:t>
      </w:r>
      <w:r>
        <w:rPr>
          <w:rFonts w:ascii="Times New Roman" w:cs="Times New Roman" w:eastAsia="Times New Roman" w:hAnsi="Times New Roman"/>
          <w:sz w:val="18"/>
          <w:szCs w:val="18"/>
          <w:color w:val="auto"/>
        </w:rPr>
        <w:t>FINANCIAL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interim consolidated financial statements contained herein reflect all adjustments (all of a normal, recurring nature) which, in the opinion of management, are necessary for a fair statement of the financial condition, results of operations, cash flows and changes in shareholders’ equity for the periods presented. They have been prepared in accordance with Rule 10-01 of Regulation S-X and do not include all the information and footnotes required by generally accepted accounting principles for complete financial statements. Operating results for the thirty nine weeks ended September 24, 2022 are not necessarily indicative of the results that may be expected for the entire fiscal year ending December 31, 2022.</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These interim consolidated financial statements should be read in conjunction with the audited consolidated financial statements and notes thereto included in the Company’s 2021 Annual Report on Form 10-K.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2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860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1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215,522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35,778</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 less allowance of $10,464 and $7,074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1,154,314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 including advances to independent contractors, less allowance of $9,877 and $8,125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101,124</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16,162</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1,484,848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1,522,900</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 of $383,458 and $344,099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164,411</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1,988,540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2,045,465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overdraft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97,686</w:t>
            </w:r>
          </w:p>
        </w:tc>
        <w:tc>
          <w:tcPr>
            <w:tcW w:w="1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116,478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604,130</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claims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46,896</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75,387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1,009,983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48,720</w:t>
            </w:r>
          </w:p>
        </w:tc>
        <w:tc>
          <w:tcPr>
            <w:tcW w:w="0" w:type="dxa"/>
            <w:vAlign w:val="bottom"/>
          </w:tcPr>
          <w:p>
            <w:pPr>
              <w:spacing w:after="0"/>
              <w:rPr>
                <w:sz w:val="1"/>
                <w:szCs w:val="1"/>
                <w:color w:val="auto"/>
              </w:rPr>
            </w:pP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160,000,000 shares, issued 68,380,565 and 68,232,975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255,148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2,317,184</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32,455,300 and 30,539,235 shares of common stock in treasury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(1,992,886)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(1,705,601)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862,010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1,988,540</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100" w:type="dxa"/>
            <w:vAlign w:val="bottom"/>
          </w:tcPr>
          <w:p>
            <w:pPr>
              <w:spacing w:after="0"/>
              <w:rPr>
                <w:sz w:val="15"/>
                <w:szCs w:val="15"/>
                <w:color w:val="auto"/>
              </w:rPr>
            </w:pPr>
          </w:p>
        </w:tc>
        <w:tc>
          <w:tcPr>
            <w:tcW w:w="2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8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4,512,341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3,583,197</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1,416,323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1,356,671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to agents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465,759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356,997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135,295</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27,117</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and claims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75,198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29,569</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158,720</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59,198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36,532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12,288</w:t>
            </w:r>
          </w:p>
        </w:tc>
        <w:tc>
          <w:tcPr>
            <w:tcW w:w="0" w:type="dxa"/>
            <w:vAlign w:val="bottom"/>
          </w:tcPr>
          <w:p>
            <w:pPr>
              <w:spacing w:after="0"/>
              <w:rPr>
                <w:sz w:val="1"/>
                <w:szCs w:val="1"/>
                <w:color w:val="auto"/>
              </w:rPr>
            </w:pPr>
          </w:p>
        </w:tc>
      </w:tr>
      <w:tr>
        <w:trPr>
          <w:trHeight w:val="230"/>
        </w:trPr>
        <w:tc>
          <w:tcPr>
            <w:tcW w:w="6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5,317,069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4,237,761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1,603,593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356,928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131,412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353,954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130,447</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85,745</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268,209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100,218</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98,675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36,886,000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38,342,000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36,334,000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38,218,000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r>
      <w:tr>
        <w:trPr>
          <w:trHeight w:val="173"/>
        </w:trPr>
        <w:tc>
          <w:tcPr>
            <w:tcW w:w="6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98,675</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holding losses on available-for-sale investments, net of tax</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benefit of $2,461, $347, $436 and $104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327,614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97,588</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r>
      <w:tr>
        <w:trPr>
          <w:trHeight w:val="117"/>
        </w:trPr>
        <w:tc>
          <w:tcPr>
            <w:tcW w:w="8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r>
      <w:tr>
        <w:trPr>
          <w:trHeight w:val="173"/>
        </w:trPr>
        <w:tc>
          <w:tcPr>
            <w:tcW w:w="8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337,612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268,209</w:t>
            </w: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42,627</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36,532</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charges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Provisions for losses on trade and other accounts receivable</w:t>
            </w: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Gains on sales/disposals of operating property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4,948</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18,717</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Decrease (increase) in trade and other accounts receivable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26,170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(224,503)</w:t>
            </w:r>
          </w:p>
        </w:tc>
      </w:tr>
      <w:tr>
        <w:trPr>
          <w:trHeight w:val="216"/>
        </w:trPr>
        <w:tc>
          <w:tcPr>
            <w:tcW w:w="8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(17,669)</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(3,822)</w:t>
            </w: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167,880</w:t>
            </w:r>
          </w:p>
        </w:tc>
      </w:tr>
      <w:tr>
        <w:trPr>
          <w:trHeight w:val="216"/>
        </w:trPr>
        <w:tc>
          <w:tcPr>
            <w:tcW w:w="8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22,837</w:t>
            </w: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(decrease) in insurance claims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17,491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(76,769)</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436,381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216,990</w:t>
            </w:r>
          </w:p>
        </w:tc>
        <w:tc>
          <w:tcPr>
            <w:tcW w:w="16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27,568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25,521</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(77,649)</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operating property</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(18,561)</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sales of operating property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 of non-marketable securities</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(26,348)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(68,642)</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cash overdraft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14,210</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(104,893)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(102,463)</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 for debt issue costs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Taxes paid in lieu of shares issued related to stock-based compensation plans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(285,983)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(50,230)</w:t>
            </w: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(29,075)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(26,513)</w:t>
            </w: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 of deferred consideration</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(450,194)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(167,372)</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(41,775)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249,354</w:t>
            </w: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230,564</w:t>
            </w:r>
          </w:p>
        </w:tc>
      </w:tr>
      <w:tr>
        <w:trPr>
          <w:trHeight w:val="20"/>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Thirty Nine and Thirteen Weeks Ended September 24, 2022 and September 25,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2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25, 2021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68,232,975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$255,148</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$ 2,317,184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30,539,235</w:t>
            </w:r>
          </w:p>
        </w:tc>
        <w:tc>
          <w:tcPr>
            <w:tcW w:w="12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$(1,705,601)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(5,403)</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$ 862,010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124,839</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124,839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($0.25 per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(9,324)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693,550</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(109,332)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(109,332)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(8,913)</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10,033</w:t>
            </w:r>
          </w:p>
        </w:tc>
        <w:tc>
          <w:tcPr>
            <w:tcW w:w="12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1,995</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(3,912)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26,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68,370,151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684</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248,230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$ 2,432,699</w:t>
            </w: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31,242,818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(1,816,149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$ 856,149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112,555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112,555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Dividends ($0.25 per share)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(9,257)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703,211</w:t>
            </w:r>
          </w:p>
        </w:tc>
        <w:tc>
          <w:tcPr>
            <w:tcW w:w="12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(103,300)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(103,300)</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3,815</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(3,006)</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25, 2022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68,376,934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252,045</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$ 2,535,997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31,946,616</w:t>
            </w:r>
          </w:p>
        </w:tc>
        <w:tc>
          <w:tcPr>
            <w:tcW w:w="12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(1,919,535)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(12,321)</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$ 856,870</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($0.30 per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(10,925)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504,065</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(73,351)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(73,351)</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3,599</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(3,080)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24,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68,380,565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684</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255,486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$ 2,625,290</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32,455,300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(1,992,886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$ 873,173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14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80" w:type="dxa"/>
            <w:vAlign w:val="bottom"/>
          </w:tcPr>
          <w:p>
            <w:pPr>
              <w:spacing w:after="0"/>
              <w:rPr>
                <w:sz w:val="12"/>
                <w:szCs w:val="12"/>
                <w:color w:val="auto"/>
              </w:rPr>
            </w:pPr>
          </w:p>
        </w:tc>
        <w:tc>
          <w:tcPr>
            <w:tcW w:w="7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68,183,702</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$228,875</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$ 2,046,238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29,797,639</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$(1,581,961)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$ 691,835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77,240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77,240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($0.21 per share)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(8,067)</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(8,067)</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6,087</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27, 2021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68,212,296</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232,597</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$ 2,115,411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29,803,726</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(1,582,818)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$ 762,919</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($0.21 per share)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(8,068)</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(23,837)</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26,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68,229,880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682</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238,422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$ 2,199,637</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29,954,081</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(1,606,716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$ 830,173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98,675</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98,675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Dividends ($0.25 per share)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(9,558)</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167,046</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(26,393)</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7,824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25, 2021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68,231,013</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246,302</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$ 2,288,754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30,122,427</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(1,633,109)</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$ 899,690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Landstar System, Inc. and its subsidiary, Landstar System Holdings, Inc., and reflect all adjustments (all of a normal, recurring nature) which are, in the opinion of management, necessary for a fair statement of the results for the periods presented. The preparation of the consolidated financial statements requires the use of management’s estimates. Actual results could differ from those estimates. Landstar System, Inc. and its subsidiary are herein referred to as “Landstar” or the “Company.” Significant intercompany accounts have been eliminated in consolidation.</w:t>
      </w:r>
    </w:p>
    <w:p>
      <w:pPr>
        <w:spacing w:after="0" w:line="328"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Disaggregation of Revenue</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thirty-nine-week and thirteen-week periods ended September 24, 2022 and September 25, 2021 (dollars in thousands):</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200" w:type="dxa"/>
            <w:vAlign w:val="bottom"/>
          </w:tcPr>
          <w:p>
            <w:pPr>
              <w:spacing w:after="0"/>
              <w:rPr>
                <w:sz w:val="15"/>
                <w:szCs w:val="15"/>
                <w:color w:val="auto"/>
              </w:rPr>
            </w:pPr>
          </w:p>
        </w:tc>
        <w:tc>
          <w:tcPr>
            <w:tcW w:w="23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4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Mode</w:t>
            </w:r>
          </w:p>
        </w:tc>
        <w:tc>
          <w:tcPr>
            <w:tcW w:w="12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56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72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 – BCO Independent Contractors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 Truck Brokerage Carriers</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 intermodal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Truck Equipment Type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Van equipment</w:t>
            </w:r>
          </w:p>
        </w:tc>
        <w:tc>
          <w:tcPr>
            <w:tcW w:w="3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3,022,297</w:t>
            </w:r>
          </w:p>
        </w:tc>
        <w:tc>
          <w:tcPr>
            <w:tcW w:w="340" w:type="dxa"/>
            <w:vAlign w:val="bottom"/>
            <w:tcBorders>
              <w:top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2,502,025</w:t>
            </w:r>
          </w:p>
        </w:tc>
        <w:tc>
          <w:tcPr>
            <w:tcW w:w="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914,154</w:t>
            </w:r>
          </w:p>
        </w:tc>
        <w:tc>
          <w:tcPr>
            <w:tcW w:w="4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1,336,956</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1,112,358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453,924</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Less-than-truckload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105,994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85,551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35,343</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632,001</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518,472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195,345</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208,817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Arrangements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of September 24, 2022, the Company has an employee equity incentive plan, the 2011 equity incentive plan (the “2011 EIP”). The Company also has a stock compensation plan for members of its Board of Directors, the 2022 Directors Stock Compensation Plan (the “2022 DSCP”), which replaced the Amended and Restated 2013 Directors Stock Compensation Plan (as amended and restated, the “2013 DSCP”). At the Company’s 2022 Annual Meeting of Stockholders held on May 11, 2022, the Company’s stockholders approved the 2022 DSCP. The provisions of the 2022 DSCP are substantially similar to the provisions of the 2013 DSCP. 6,000,000 shares of the Company’s common stock were authorized for issuance under the 2011 EIP, and 200,000 shares of the Company’s common stock were authorized for issuance under the 2022 DSCP. No further grants can be made under the 2013 DSCP, including 56,502 shares of the Company’s common stock previously reserved for issuance, but not issued, under the 2013 DSCP. The 2011 EIP, 2013 DSCP and 2022 DSCP are each referred to herein as a “Plan,” and, collectively, as the “Plans.” Amounts recognized in the financial statements with respect to these Plans are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200" w:type="dxa"/>
            <w:vAlign w:val="bottom"/>
          </w:tcPr>
          <w:p>
            <w:pPr>
              <w:spacing w:after="0"/>
              <w:rPr>
                <w:sz w:val="15"/>
                <w:szCs w:val="15"/>
                <w:color w:val="auto"/>
              </w:rPr>
            </w:pPr>
          </w:p>
        </w:tc>
        <w:tc>
          <w:tcPr>
            <w:tcW w:w="22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7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5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r>
      <w:tr>
        <w:trPr>
          <w:trHeight w:val="173"/>
        </w:trPr>
        <w:tc>
          <w:tcPr>
            <w:tcW w:w="4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the Plans during the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9,409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18,717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3,599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related income tax benefit recognized during</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(5,219)</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(5,636)</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4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cost of the Plans during the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4,190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13,081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5,905</w:t>
            </w: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Included in income tax benefits recognized in the thirty-nine-week periods ended September 24, 2022 and September 25, 2021 were excess tax benefits from stock-based awards of $2,910,000 and $1,039,000 respectively.</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September 24, 2022, there were 193,217 shares of the Company’s common stock reserved for issuance under the 2022 DSCP and 3,245,251 shares of the Company’s common stock reserved for issuance under the 2011 EIP.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restricted stock unit (“RSU”) awards with either a performance condition or a market condition under the Plans: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RSUs</w:t>
            </w:r>
          </w:p>
        </w:tc>
        <w:tc>
          <w:tcPr>
            <w:tcW w:w="3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25, 2021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209,399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49,825</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Shares earned in excess of target </w:t>
            </w:r>
            <w:r>
              <w:rPr>
                <w:rFonts w:ascii="Times New Roman" w:cs="Times New Roman" w:eastAsia="Times New Roman" w:hAnsi="Times New Roman"/>
                <w:sz w:val="22"/>
                <w:szCs w:val="22"/>
                <w:color w:val="auto"/>
                <w:vertAlign w:val="superscript"/>
              </w:rPr>
              <w:t>(1)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91,497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Vested shares, including shares earned in excess of target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(177,146)</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(21,989)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113.85</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24,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151,586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40" w:hanging="424"/>
        <w:spacing w:after="0" w:line="234" w:lineRule="auto"/>
        <w:tabs>
          <w:tab w:leader="none" w:pos="54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additional shares earned under each of the February 2, 2017, February 2, 2018 and February 1, 2019 RSU awards, as fiscal year 2021 financial results exceeded target performance level under each such award.</w:t>
      </w:r>
    </w:p>
    <w:p>
      <w:pPr>
        <w:spacing w:after="0" w:line="20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During the thirty-nine-week period ended September 24, 2022, the Company granted RSUs with a performance condition. Outstanding RSUs at both December 25, 2021 and September 24, 2022 include RSUs with a performance condition and RSUs with a market condition, as further described below and in the Company’s 2021 Annual Report on Form 10-K.</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RSUs with a performance condition granted on January 28, 2022 may vest on January 31 of 2025, 2026 and 2027 based on growth in operating income and pre-tax income per diluted share from continuing operations as compared to the results from the 2021 fiscal year.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$7,035,000 and $16,223,000 of share-based compensation expense related to RSU awards in the thirty-nine-week periods ended September 24, 2022 and September 25, 2021, respectively. As of September 24, 2022, there was a maximum of $19.7 million of total unrecognized compensation cost related to RSU awards granted under the Plans with an expected average remaining life of approximately 3.6 years. With respect to RSU awards with a performance condition, the amount of future compensation expense to be recognized will be determined based on future operating results.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Non-vested Restricted Stock and Deferred Stock Units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shares of non-vested restricted stock and Deferred Stock Units (defined below) under the Plans: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520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and Deferred 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2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5"/>
                <w:szCs w:val="15"/>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25, 2021</w:t>
            </w: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56,436</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125.16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25,354</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(27,074)</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122.68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24,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138.30</w:t>
            </w:r>
          </w:p>
        </w:tc>
      </w:tr>
      <w:tr>
        <w:trPr>
          <w:trHeight w:val="20"/>
        </w:trPr>
        <w:tc>
          <w:tcPr>
            <w:tcW w:w="5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the grant or the third, fourth and fifth anniversary of the date of the grant, or 100% on the first or fifth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September 24, 2022, there was $4,375,000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1.9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stock options under the Plans: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3"/>
            <w:vMerge w:val="continue"/>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25, 2021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55.42</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54.36</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24,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56.40</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September 24, 2022</w:t>
            </w: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56.40</w:t>
            </w:r>
          </w:p>
        </w:tc>
        <w:tc>
          <w:tcPr>
            <w:tcW w:w="18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thirty-nine-week periods ended September 24, 2022 and September 25, 2021 was $429,000 and $644,000,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24, 2022, there was no unrecognized compensation cost related to stock options granted under the Plans.</w:t>
      </w:r>
    </w:p>
    <w:p>
      <w:pPr>
        <w:spacing w:after="0" w:line="37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provisions for income taxes for the 2022 and 2021 thirty-nine-week periods were based on estimated annual effective income tax rates of 24.5% and 24.4%, respectively, adjusted for discrete events, such as benefits resulting from stock-based awards. The estimated annual effective income tax rate was higher than the statutory federal income tax rate of 21% in both periods primarily attributable to state taxes and non-deductible executive compensation. The effective income tax rate for the 2022 thirty-nine-week period was 23.9%, which was lower than the estimated annual effective income tax rate of 24.5%, primarily attributable to excess tax benefits realized on stock-based awards. The effective income tax rate for the 2021 thirty-nine-week period was 24.2%, which was lower than the estimated annual effective income tax rate of 24.4% primarily attributable to excess tax benefits realized on stock-based awards.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Earnings per common share are based on the weighted average number of shares outstanding, including outstanding non-vested restricted stock and outstanding Deferred Stock Units. Diluted earnings per share are based on the weighted average number of common shares and Deferred Stock Units outstanding plus the incremental shares that would have been outstanding upon the assumed exercise of all dilutive stock options. During the 2022 and 2021 thirty-nine-week and thirteen-week periods, in reference to the determination of diluted earnings per share, the future compensation cost attributable to outstanding shares of non-vested restricted stock exceeded the impact of incremental shares that would have been outstanding upon the assumed exercise of all dilutive stock options.</w:t>
      </w:r>
    </w:p>
    <w:p>
      <w:pPr>
        <w:spacing w:after="0" w:line="187"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For each of the thirty-nine-week periods ended September 24, 2022 and September 25, 2021, no options outstanding to purchase shares of common stock were antidilutive. Outstanding RSUs were excluded from the calculation of diluted earnings per share for all periods because the performance metric requirements or market condition for vesting had not been satisfied.</w:t>
      </w:r>
    </w:p>
    <w:p>
      <w:pPr>
        <w:spacing w:after="0" w:line="320"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Cash Flow Information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2022 thirty-nine-week period, Landstar paid income taxes and interest of $125,690,000 and $3,101,000, respectively. During the 2021 thirty-nine-week period, Landstar paid income taxes and interest of $71,823,000 and $2,780,000, respectively. Landstar acquired operating property by entering into finance leases in the amount of $26,741,000 and $23,080,000 in the 2022 and 2021 thirty-nine-week periods, respectively.</w:t>
      </w:r>
    </w:p>
    <w:p>
      <w:pPr>
        <w:spacing w:after="0" w:line="320"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reportable business segments as of and for the thirty-nine-week and thirteen-week periods ended September 24, 2022 and September 25, 2021:</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24, 2022</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2021</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6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6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5,702,959</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$ 58,836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$5,761,795</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4,539,561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$ 52,990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$4,592,551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65,753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65,753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53,028</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2,138</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412,054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34,695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446,749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323,370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33,558</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356,928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21,096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18,561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18,561</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41,004</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41,004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40,980</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40,980</w:t>
            </w: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24, 2022</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2021</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1,796,401</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$ 19,731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$1,816,132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1,716,004</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$ 18,295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$1,734,299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12,883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9,533</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120,164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13,334</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133,498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123,410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8,002</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131,412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9,561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the thirty-nine-week periods ended September 24, 2022 and September 25, 2021, no single customer accounted for more than 10% of the Company’s consolidated revenue.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accumulated other comprehensive income (loss), net of related income taxes, as of and for the thirty-nine-week period ended September 24, 2022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Holding Gains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7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740" w:type="dxa"/>
            <w:vAlign w:val="bottom"/>
            <w:gridSpan w:val="4"/>
          </w:tcPr>
          <w:p>
            <w:pPr>
              <w:jc w:val="center"/>
              <w:ind w:left="879"/>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7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7"/>
              </w:rPr>
              <w:t>(5,516)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24, 2022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(8,874)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(6,527)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Amounts reclassified from accumulated other comprehensive income to investment income due to the realization of previously unrealized gains and losses in the accompanying consolidated statements of income were not significant for the thirty-nine-week period ended September 24, 2022.</w:t>
      </w:r>
    </w:p>
    <w:p>
      <w:pPr>
        <w:spacing w:after="0" w:line="284"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Investments include primarily investment-grade corporate bonds and asset-backed securities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and direct obligations of government agencies. Unrealized losses, net of unrealized gains, on the investments in the bond portfolio were $11,304,000 at September 24, 2022, while unrealized gains, net of unrealized losses, on the investments in the bond portfolio were $144,000 at December 25, 2021.</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values of available-for-sale investments are as follows at September 24, 2022 and December 25, 2021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24,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15"/>
        </w:trPr>
        <w:tc>
          <w:tcPr>
            <w:tcW w:w="56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129,250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u w:val="single" w:color="auto"/>
                <w:color w:val="auto"/>
                <w:w w:val="88"/>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shd w:val="clear" w:color="auto" w:fill="CCEEFF"/>
              </w:rPr>
              <w:t>173,398</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25, 2021</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137,916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u w:val="single" w:color="auto"/>
                <w:color w:val="auto"/>
                <w:w w:val="88"/>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shd w:val="clear" w:color="auto" w:fill="CCEEFF"/>
              </w:rPr>
              <w:t>171,449</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those available-for-sale investments with unrealized losses at September 24, 2022 and December 25, 2021, the following table summarizes the duration of the unrealized loss (in thousands):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2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40" w:type="dxa"/>
            <w:vAlign w:val="bottom"/>
            <w:tcBorders>
              <w:top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80" w:type="dxa"/>
            <w:vAlign w:val="bottom"/>
            <w:tcBorders>
              <w:top w:val="single" w:sz="8" w:color="auto"/>
            </w:tcBorders>
          </w:tcPr>
          <w:p>
            <w:pPr>
              <w:jc w:val="center"/>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24, 2022</w:t>
            </w:r>
          </w:p>
        </w:tc>
        <w:tc>
          <w:tcPr>
            <w:tcW w:w="4540" w:type="dxa"/>
            <w:vAlign w:val="bottom"/>
            <w:vMerge w:val="restart"/>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20"/>
        </w:trPr>
        <w:tc>
          <w:tcPr>
            <w:tcW w:w="1200" w:type="dxa"/>
            <w:vAlign w:val="bottom"/>
            <w:tcBorders>
              <w:bottom w:val="single" w:sz="8" w:color="auto"/>
            </w:tcBorders>
            <w:vMerge w:val="continue"/>
          </w:tcPr>
          <w:p>
            <w:pPr>
              <w:spacing w:after="0"/>
              <w:rPr>
                <w:sz w:val="10"/>
                <w:szCs w:val="10"/>
                <w:color w:val="auto"/>
              </w:rPr>
            </w:pPr>
          </w:p>
        </w:tc>
        <w:tc>
          <w:tcPr>
            <w:tcW w:w="4540" w:type="dxa"/>
            <w:vAlign w:val="bottom"/>
            <w:vMerge w:val="continue"/>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13,852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51,860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120,714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74,320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65,712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8,017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140,032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25, 2021</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5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60" w:type="dxa"/>
            <w:vAlign w:val="bottom"/>
            <w:tcBorders>
              <w:top w:val="single" w:sz="8" w:color="auto"/>
            </w:tcBorders>
          </w:tcPr>
          <w:p>
            <w:pPr>
              <w:spacing w:after="0"/>
              <w:rPr>
                <w:sz w:val="6"/>
                <w:szCs w:val="6"/>
                <w:color w:val="auto"/>
              </w:rPr>
            </w:pPr>
          </w:p>
        </w:tc>
        <w:tc>
          <w:tcPr>
            <w:tcW w:w="4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72,526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2"/>
            <w:vMerge w:val="continue"/>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shd w:val="clear" w:color="auto" w:fill="CCEEFF"/>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94,621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32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for finance leases and operating leases for the thirty nine weeks ended September 24, 2022 were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4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cost</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3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Sublease income</w:t>
            </w:r>
          </w:p>
        </w:tc>
        <w:tc>
          <w:tcPr>
            <w:tcW w:w="3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operating lease income</w:t>
            </w:r>
          </w:p>
        </w:tc>
        <w:tc>
          <w:tcPr>
            <w:tcW w:w="3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3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520" w:type="dxa"/>
            <w:vAlign w:val="bottom"/>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lease classification on our consolidated balance sheet as of September 24, 2022 is as follows (in thousands):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6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146,903</w:t>
            </w:r>
          </w:p>
        </w:tc>
      </w:tr>
      <w:tr>
        <w:trPr>
          <w:trHeight w:val="27"/>
        </w:trPr>
        <w:tc>
          <w:tcPr>
            <w:tcW w:w="2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148,531</w:t>
            </w:r>
          </w:p>
        </w:tc>
      </w:tr>
      <w:tr>
        <w:trPr>
          <w:trHeight w:val="20"/>
        </w:trPr>
        <w:tc>
          <w:tcPr>
            <w:tcW w:w="26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finance and operating leases to the finance and operating lease liabilities recorded on the balance sheet at September 24, 2022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115,089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(1.6% to 4.6%)</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109,470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finance and operating leases as of September 24, 2022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3.5</w:t>
            </w:r>
          </w:p>
        </w:tc>
        <w:tc>
          <w:tcPr>
            <w:tcW w:w="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2.6</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4.5%</w:t>
            </w:r>
          </w:p>
        </w:tc>
      </w:tr>
    </w:tbl>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finance lease obligations as presented on the consolidated balance sheets, the Company had no outstanding debt as of September 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and December 25, 2021.</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August 18, 2020, Landstar entered into an amended and restated credit agreement with a syndicate of banks and JPMorgan Chase Bank, N.A., as administrative agent (the “First Amended and Restated Credit Agreement”).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in a Form 8-K filed with the SEC on July 8, 2022, Landstar entered into a second amended and restated credit agreement, dated July 1, 2022, with a bank syndicate led by JPMorgan Chase Bank, N.A., as administrative agent (the “Second Amended and Restated Credit Agreement”) that superseded and replaced the First Amended and Restated Credit Agreement. The Second Amended and Restated Credit Agreement, which matures July 1, 2027, provides for borrowing capacity in the form of a revolving credit facility of $300,000,000, $45,000,000 of which may be utilized in the form of letters of credit. The Second Amended and Restated Credit Agreement also includes an “accordion” feature providing for a possible increase of up to an aggregate amount of borrowing capacity of $600,000,000.</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Second Amended and Restated Credit Agreement, which superseded and replaced the First Amended and Restated Credit Agreement, is referred to herein as the “Credit Agreement.” As of September 24, 2022, there were no borrowings outstanding under the revolving credit facility of the Credit Agreement.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Short-term investments include $50,637,000 in current maturities of investments held by the Company’s insurance segment at September 24, 2022. The non-current portion of the bond portfolio of $111,457,000 is included in other assets. The short-term investments, together with $34,437,000 of non-current investments, provide collateral for the $76,567,000 of letters of credit issued to guarantee payment of insurance claims. As of September 24, 2022, Landstar also had $33,493,000 of additional letters of credit outstanding under the Credit Agreement.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Equity investment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non-controlling investment in units of Cavnue, LLC, is considered an investment in non-marketable equity securities without a readily determinable market value. The carrying value of our non-marketable equity securities going forward will be adjusted to fair value upon observable transactions for identical or similar investments of the same issuer or impairment (referred to as the measurement alternative).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interim consolidated financial statements and notes thereto included herein, and with the Company’s audited financial statements and notes thereto for the fiscal year ended December 25, 2021 and Management’s Discussion and Analysis of Financial Condition and Results of Operations included in the 2021 Annual Report on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10-Q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the impact of the Russian conflict with Ukraine on the operations of certain independent commission sales agents, including the Company’s largest such agent by revenue in the 2021 fiscal year; the impact of the coronavirus (COVID-19) pandemic; an increase in the frequency or severity of accidents or other claims; unfavorable development of existing accident claims; dependence on third party insurance companies; dependence on independent commission sales agents; dependence on third party capacity providers; decreased demand for transportation services; U.S trade relationships; substantial industry competition; disruptions or failures in the Company’s computer systems; cyber and other information security incidents; dependence on key vendors; changes in fuel taxes; status of independent contractors; regulatory and legislative changes; regulations focused on diesel emissions and other air quality matters; intellectual property; and other operational, financial or legal risks or uncertainties detailed in Landstar’s Form 10-K for the 2021 fiscal year, described in Item 1A “Risk Factors”, Landstar’s Form 10-Qs for the 2022 first and second quarters, described in Part II, Item 1A “Risk Factors”, and in this report or in Landstar’s other Securities and Exchange Commission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Landstar System, Inc. and its subsidiary, Landstar System Holdings, Inc. (collectively referred to herein with their subsidiaries and other affiliated companies as “Landstar” or the “Company”), a Fortune 500 company, is a worldwide,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1,200 independent commission sales agents and over 112,000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$6.5 billion during the most recently completed fiscal year. The Company reports the results of two operating segments: the transportation logistics segment and the insurance segment.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as further described below, Landstar Blue.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the thirty-nine-week period ended September 24, 2022, revenue generated by BCO Independent Contractors, Truck Brokerage Carriers and railroads represented approximately 35%, 53% and 2%, respectively, of the Company’s consolidated revenue. Collectively, revenue generated by air and ocean cargo carriers represented approximately 8% of the Company’s consolidated revenue in the thirty-nine-week period ended September 24, 2022.</w:t>
      </w:r>
    </w:p>
    <w:p>
      <w:pPr>
        <w:spacing w:after="0" w:line="19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May 6, 2020, the Company formed a new subsidiary that was subsequently renamed Landstar Blue, LLC (“Landstar Blue”). Landstar Blue arranges truckload brokerage services with a focus on the contract services market. Landstar Blue also helps the Company to develop and test digital technologies and processes for the benefit of all Landstar independent commission sales agents. On June 15, 2020, Landstar Blue completed the acquisition of an independent agent of the Company whose business focused on truckload brokerage services. The results of operations from Landstar Blue are presented as part of the Company’s transportation logistics segment. Revenue from Landstar Blue represented less than 1% of the Company’s transportation logistics segment revenue in the thirty-nine-week period ended September 24, 2022.</w:t>
      </w:r>
    </w:p>
    <w:p>
      <w:pPr>
        <w:spacing w:after="0" w:line="187"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the thirty-nine-week period ended September 24, 2022.</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Financial Condition and Results of Operations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believes the Company’s success principally depends on its ability to generate freight revenue through its network of independent commission sales agents and to deliver freight safely and efficiently utilizing third party capacity providers. Management believes the most significant factors to the Company’s success include increasing revenue, sourcing capacity, empowering its network through technology-based tools and controlling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(“Million Dollar Agents”).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During the 2021 fiscal year, 593 independent commission sales agents generated $1 million or more of Landstar revenue and thus qualified as Million Dollar Agents. During the 2021 fiscal year, the average revenue generated by a Million Dollar Agent was $6,150,000 and revenue generated by Million Dollar Agents in the aggregate represented 94% of consolidated revenue.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140" w:type="dxa"/>
            <w:vAlign w:val="bottom"/>
          </w:tcPr>
          <w:p>
            <w:pPr>
              <w:spacing w:after="0"/>
              <w:rPr>
                <w:sz w:val="15"/>
                <w:szCs w:val="15"/>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440" w:type="dxa"/>
            <w:vAlign w:val="bottom"/>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Revenue generated through (in thousands):</w:t>
            </w:r>
          </w:p>
        </w:tc>
        <w:tc>
          <w:tcPr>
            <w:tcW w:w="1940" w:type="dxa"/>
            <w:vAlign w:val="bottom"/>
            <w:gridSpan w:val="2"/>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3"/>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3,022,297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2,502,025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914,154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918,115</w:t>
            </w:r>
          </w:p>
        </w:tc>
        <w:tc>
          <w:tcPr>
            <w:tcW w:w="0" w:type="dxa"/>
            <w:vAlign w:val="bottom"/>
          </w:tcPr>
          <w:p>
            <w:pPr>
              <w:spacing w:after="0"/>
              <w:rPr>
                <w:sz w:val="1"/>
                <w:szCs w:val="1"/>
                <w:color w:val="auto"/>
              </w:rPr>
            </w:pPr>
          </w:p>
        </w:tc>
      </w:tr>
      <w:tr>
        <w:trPr>
          <w:trHeight w:val="216"/>
        </w:trPr>
        <w:tc>
          <w:tcPr>
            <w:tcW w:w="50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1,336,956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1,112,358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453,924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422,979</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105,994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85,551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30,819</w:t>
            </w: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518,472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195,345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208,817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5,097,248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4,218,406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1,598,766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1,580,730</w:t>
            </w:r>
          </w:p>
        </w:tc>
        <w:tc>
          <w:tcPr>
            <w:tcW w:w="0" w:type="dxa"/>
            <w:vAlign w:val="bottom"/>
          </w:tcPr>
          <w:p>
            <w:pPr>
              <w:spacing w:after="0"/>
              <w:rPr>
                <w:sz w:val="1"/>
                <w:szCs w:val="1"/>
                <w:color w:val="auto"/>
              </w:rPr>
            </w:pPr>
          </w:p>
        </w:tc>
      </w:tr>
      <w:tr>
        <w:trPr>
          <w:trHeight w:val="216"/>
        </w:trPr>
        <w:tc>
          <w:tcPr>
            <w:tcW w:w="5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120,540</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44,472</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475,156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191,951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164,252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84,111</w:t>
            </w:r>
          </w:p>
        </w:tc>
        <w:tc>
          <w:tcPr>
            <w:tcW w:w="0" w:type="dxa"/>
            <w:vAlign w:val="bottom"/>
          </w:tcPr>
          <w:p>
            <w:pPr>
              <w:spacing w:after="0"/>
              <w:rPr>
                <w:sz w:val="1"/>
                <w:szCs w:val="1"/>
                <w:color w:val="auto"/>
              </w:rPr>
            </w:pPr>
          </w:p>
        </w:tc>
      </w:tr>
      <w:tr>
        <w:trPr>
          <w:trHeight w:val="216"/>
        </w:trPr>
        <w:tc>
          <w:tcPr>
            <w:tcW w:w="5040" w:type="dxa"/>
            <w:vAlign w:val="bottom"/>
            <w:gridSpan w:val="5"/>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5,761,795</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4,592,551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1,816,132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1,734,299</w:t>
            </w:r>
          </w:p>
        </w:tc>
        <w:tc>
          <w:tcPr>
            <w:tcW w:w="0" w:type="dxa"/>
            <w:vAlign w:val="bottom"/>
          </w:tcPr>
          <w:p>
            <w:pPr>
              <w:spacing w:after="0"/>
              <w:rPr>
                <w:sz w:val="1"/>
                <w:szCs w:val="1"/>
                <w:color w:val="auto"/>
              </w:rPr>
            </w:pPr>
          </w:p>
        </w:tc>
      </w:tr>
      <w:tr>
        <w:trPr>
          <w:trHeight w:val="20"/>
        </w:trPr>
        <w:tc>
          <w:tcPr>
            <w:tcW w:w="50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Revenue on loads hauled via BCO Independent Contractors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included in total truck transportation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2,043,772</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1,899,313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627,809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690,257</w:t>
            </w: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loads:</w:t>
            </w:r>
          </w:p>
        </w:tc>
        <w:tc>
          <w:tcPr>
            <w:tcW w:w="37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1,130,263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1,037,516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366,513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359,263</w:t>
            </w:r>
          </w:p>
        </w:tc>
        <w:tc>
          <w:tcPr>
            <w:tcW w:w="0" w:type="dxa"/>
            <w:vAlign w:val="bottom"/>
          </w:tcPr>
          <w:p>
            <w:pPr>
              <w:spacing w:after="0"/>
              <w:rPr>
                <w:sz w:val="1"/>
                <w:szCs w:val="1"/>
                <w:color w:val="auto"/>
              </w:rPr>
            </w:pPr>
          </w:p>
        </w:tc>
      </w:tr>
      <w:tr>
        <w:trPr>
          <w:trHeight w:val="216"/>
        </w:trPr>
        <w:tc>
          <w:tcPr>
            <w:tcW w:w="50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420,436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381,594</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141,091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133,332</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135,038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49,943</w:t>
            </w: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76,594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623,780</w:t>
            </w:r>
          </w:p>
        </w:tc>
        <w:tc>
          <w:tcPr>
            <w:tcW w:w="0" w:type="dxa"/>
            <w:vAlign w:val="bottom"/>
          </w:tcPr>
          <w:p>
            <w:pPr>
              <w:spacing w:after="0"/>
              <w:rPr>
                <w:sz w:val="1"/>
                <w:szCs w:val="1"/>
                <w:color w:val="auto"/>
              </w:rPr>
            </w:pPr>
          </w:p>
        </w:tc>
      </w:tr>
      <w:tr>
        <w:trPr>
          <w:trHeight w:val="216"/>
        </w:trPr>
        <w:tc>
          <w:tcPr>
            <w:tcW w:w="5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40,420</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34,410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29,650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10,190</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2,003,130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1,832,620</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5"/>
              </w:rPr>
              <w:t>649,350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Loads hauled via BCO Independent Contractors included in</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777,250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773,270</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249,420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263,120</w:t>
            </w:r>
          </w:p>
        </w:tc>
        <w:tc>
          <w:tcPr>
            <w:tcW w:w="0" w:type="dxa"/>
            <w:vAlign w:val="bottom"/>
          </w:tcPr>
          <w:p>
            <w:pPr>
              <w:spacing w:after="0"/>
              <w:rPr>
                <w:sz w:val="1"/>
                <w:szCs w:val="1"/>
                <w:color w:val="auto"/>
              </w:rPr>
            </w:pPr>
          </w:p>
        </w:tc>
      </w:tr>
      <w:tr>
        <w:trPr>
          <w:trHeight w:val="432"/>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Revenue per load:</w:t>
            </w:r>
          </w:p>
        </w:tc>
        <w:tc>
          <w:tcPr>
            <w:tcW w:w="37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2,412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6"/>
        </w:trPr>
        <w:tc>
          <w:tcPr>
            <w:tcW w:w="50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5040" w:type="dxa"/>
            <w:vAlign w:val="bottom"/>
            <w:gridSpan w:val="5"/>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16"/>
        </w:trPr>
        <w:tc>
          <w:tcPr>
            <w:tcW w:w="5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2,982</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6,474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198"/>
        </w:trPr>
        <w:tc>
          <w:tcPr>
            <w:tcW w:w="504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per load on loads hauled via BCO Independent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Contractors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Revenue by capacity type (as a % of total revenue):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capacity providers: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Truck Brokerage Carriers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0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20" w:lineRule="auto"/>
        <w:tabs>
          <w:tab w:leader="none" w:pos="5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 w:lineRule="exact"/>
        <w:rPr>
          <w:rFonts w:ascii="Times New Roman" w:cs="Times New Roman" w:eastAsia="Times New Roman" w:hAnsi="Times New Roman"/>
          <w:sz w:val="27"/>
          <w:szCs w:val="27"/>
          <w:color w:val="auto"/>
          <w:vertAlign w:val="superscript"/>
        </w:rPr>
      </w:pPr>
    </w:p>
    <w:p>
      <w:pPr>
        <w:ind w:left="540" w:right="80" w:hanging="424"/>
        <w:spacing w:after="0" w:line="200" w:lineRule="auto"/>
        <w:tabs>
          <w:tab w:leader="none" w:pos="5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1060"/>
          </w:cols>
          <w:pgMar w:left="320" w:top="482" w:right="519" w:bottom="960" w:gutter="0" w:footer="0" w:header="0"/>
        </w:sectPr>
      </w:pP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96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Purchased transportation</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on the dates indicated: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r>
      <w:tr>
        <w:trPr>
          <w:trHeight w:val="173"/>
        </w:trPr>
        <w:tc>
          <w:tcPr>
            <w:tcW w:w="50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10,955</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Truck Brokerage Carriers: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Approved and active </w:t>
            </w:r>
            <w:r>
              <w:rPr>
                <w:rFonts w:ascii="Times New Roman" w:cs="Times New Roman" w:eastAsia="Times New Roman" w:hAnsi="Times New Roman"/>
                <w:sz w:val="25"/>
                <w:szCs w:val="25"/>
                <w:color w:val="auto"/>
                <w:vertAlign w:val="superscript"/>
              </w:rPr>
              <w:t>(1)</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71,207</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58,676</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approved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w:t>
            </w:r>
          </w:p>
        </w:tc>
        <w:tc>
          <w:tcPr>
            <w:tcW w:w="60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24,602</w:t>
            </w:r>
          </w:p>
        </w:tc>
      </w:tr>
      <w:tr>
        <w:trPr>
          <w:trHeight w:val="27"/>
        </w:trPr>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101,429</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83,278</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truck capacity providers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112,171</w:t>
            </w:r>
          </w:p>
        </w:tc>
        <w:tc>
          <w:tcPr>
            <w:tcW w:w="6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2"/>
              </w:rPr>
              <w:t>94,233</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provided by BCO Independent Contractors</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11,644</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11,746</w:t>
            </w:r>
          </w:p>
        </w:tc>
      </w:tr>
    </w:tbl>
    <w:p>
      <w:pPr>
        <w:spacing w:after="0" w:line="149"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refers to Truck Brokerage Carriers who moved at least one load in the 180 days immediately preceding the fiscal quarter end.</w:t>
      </w:r>
    </w:p>
    <w:p>
      <w:pPr>
        <w:spacing w:after="0" w:line="19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Commissions to agents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Commissions to agents are based on contractually agreed-upon percentages of (i) revenue, (ii) revenue less the cost of purchased transportation, or</w:t>
      </w:r>
    </w:p>
    <w:p>
      <w:pPr>
        <w:spacing w:after="0" w:line="39" w:lineRule="exact"/>
        <w:rPr>
          <w:sz w:val="20"/>
          <w:szCs w:val="20"/>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a contractually agreed upon percentage of revenue retained by Landstar and the cost of purchased transportation (the “retention</w:t>
      </w:r>
    </w:p>
    <w:p>
      <w:pPr>
        <w:spacing w:after="0" w:line="9" w:lineRule="exact"/>
        <w:rPr>
          <w:rFonts w:ascii="Times New Roman" w:cs="Times New Roman" w:eastAsia="Times New Roman" w:hAnsi="Times New Roman"/>
          <w:sz w:val="18"/>
          <w:szCs w:val="18"/>
          <w:color w:val="auto"/>
        </w:rPr>
      </w:pPr>
    </w:p>
    <w:p>
      <w:pPr>
        <w:jc w:val="both"/>
        <w:ind w:left="12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agents are recognized over the freight transit period as the performance obligation to the customer is completed.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costs, net of gains on asset sales/dispositions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Maintenance costs for Company-provided trailing equipment and BCO Independent Contractor recruiting and qualification costs are the largest components of other operating costs. Also included in other operating costs are trailer rental costs, the provision for uncollectible advances and other receivables due from BCO Independent Contractors and independent commission sales agents and gains/losses, if any, on sales of Company-owned trailing equipment.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claims</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insurance and claims cost, potential liability associated with accidents in the trucking industry is severe and occurrences are unpredictable.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The Company subsequently extended the Initial Excess Policy for one additional policy year, from May 1, 2022 through April 30, 2023. For commercial trucking claims incurred on or after May 1, 2022 through April 30, 2023, the extended Initial Excess Policy provides for a limit for a single loss of $5 million, with a remaining aggregate limit of $10 million for the policy period ending April 30, 2023, and an option to increase such aggregate limit for a pre-established amount of additional premium. If aggregate losses under the Initial Excess Policy exceed the aggregate limit for the period ending April 30, 2023, and the Company did not elect to increase such aggregate limit for a pre-established amount of additional premium, the Company would retain liability of up to $10 million per occurrence, inclusive of its $5 million self-insured retention for commercial trucking claims during the remainder of the policy period ending April 30, 2023.</w:t>
      </w:r>
    </w:p>
    <w:p>
      <w:pPr>
        <w:spacing w:after="0" w:line="19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ended April 30, 2021, as compared to the annual policy year ended April 30, 2020, the Company experienced an increase of approximately $14 million, or over 170%, in the premiums charged by third party insurance companies to the Company for excess coverage for commercial trucking liabilities in excess of</w:t>
      </w:r>
    </w:p>
    <w:p>
      <w:pPr>
        <w:spacing w:after="0" w:line="6"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$10 million. Effective May 1, 2021, with respect to the annual policy year ending 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Effective May 1, 2022, with respect to the annual policy year ending April 30, 2023, as compared to the annual policy year ended April 30, 2022, the Company experienced an increase of approximately</w:t>
      </w:r>
    </w:p>
    <w:p>
      <w:pPr>
        <w:spacing w:after="0" w:line="2"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$2.3 million, or 10%, in the premiums charged by third party insurance companies to the Company for excess coverage for commercial trucking liabilities in excess of $10 million.</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in recent years the Company has increased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 $35 million incurred during the annual policy year ending April 30, 2023, the Company would have an aggregate financial exposure of approximately $10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82"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During the thirty-nine-week period ended September 24, 2022, employee compensation and benefits accounted for approximately 68%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primarily relate to depreciation of trailing equipment and information technology hardware and software.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Company incurs costs of revenue related to the transportation of freight and, to a much lesser extent,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our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Profit, Variable Contribution, Gross Profit Margin and Variable Contribution Margin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reconciliations of gross profit to variable contribution and gross profit margin to variable contribution margin are each presented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120" w:type="dxa"/>
            <w:vAlign w:val="bottom"/>
          </w:tcPr>
          <w:p>
            <w:pPr>
              <w:spacing w:after="0"/>
              <w:rPr>
                <w:sz w:val="15"/>
                <w:szCs w:val="15"/>
                <w:color w:val="auto"/>
              </w:rPr>
            </w:pPr>
          </w:p>
        </w:tc>
        <w:tc>
          <w:tcPr>
            <w:tcW w:w="23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1,734,299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4,512,341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3,583,197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1,416,323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1,356,671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Commissions to agents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356,997</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costs of revenue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4,978,100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3,940,194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1,570,448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1,491,966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Trailing equipment depreciation</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26,362</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9,534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Insurance-related costs (1)</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78,175</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operating costs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141,188</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of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5,153,427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4,081,382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1,630,410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1,545,105</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511,169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other costs of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175,327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141,188</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652,357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245,684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242,333</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Variable contribution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40" w:hanging="424"/>
        <w:spacing w:after="0" w:line="25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spacing w:after="0" w:line="1" w:lineRule="exact"/>
        <w:rPr>
          <w:rFonts w:ascii="Times New Roman" w:cs="Times New Roman" w:eastAsia="Times New Roman" w:hAnsi="Times New Roman"/>
          <w:sz w:val="18"/>
          <w:szCs w:val="18"/>
          <w:color w:val="auto"/>
        </w:rPr>
      </w:pPr>
    </w:p>
    <w:p>
      <w:pPr>
        <w:ind w:left="5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90"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40% of the Company’s consolidated revenue in the thirty-nine-week period ended September 24, 2022 was generated under transactions that pay a fixed percentage of revenue to the third party capacity provider and/or agents while 60% was generated under transactions that pay a variable percentage of revenue to the third party capacity provider and/or agents.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income as a percentage of gross profit and operating income as a percentage of variable contribution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understand the underlying trends in the Company’s results of operations; (iii)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Thirty Nine Weeks Ended</w:t>
            </w:r>
          </w:p>
        </w:tc>
        <w:tc>
          <w:tcPr>
            <w:tcW w:w="180" w:type="dxa"/>
            <w:vAlign w:val="bottom"/>
          </w:tcPr>
          <w:p>
            <w:pPr>
              <w:spacing w:after="0"/>
              <w:rPr>
                <w:sz w:val="15"/>
                <w:szCs w:val="15"/>
                <w:color w:val="auto"/>
              </w:rPr>
            </w:pPr>
          </w:p>
        </w:tc>
        <w:tc>
          <w:tcPr>
            <w:tcW w:w="24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44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66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24,</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20" w:type="dxa"/>
            <w:vAlign w:val="bottom"/>
          </w:tcPr>
          <w:p>
            <w:pPr>
              <w:spacing w:after="0"/>
              <w:rPr>
                <w:sz w:val="10"/>
                <w:szCs w:val="10"/>
                <w:color w:val="auto"/>
              </w:rPr>
            </w:pPr>
          </w:p>
        </w:tc>
      </w:tr>
      <w:tr>
        <w:trPr>
          <w:trHeight w:val="173"/>
        </w:trPr>
        <w:tc>
          <w:tcPr>
            <w:tcW w:w="4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608,368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511,169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189,194</w:t>
            </w: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446,749</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356,928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133,498</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131,412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gross profit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69.4%</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783,695</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652,357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245,684</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242,333</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446,749</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356,928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133,498</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131,412</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variable contribution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54.7%</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54.2%</w:t>
            </w:r>
          </w:p>
        </w:tc>
      </w:tr>
    </w:tbl>
    <w:p>
      <w:pPr>
        <w:spacing w:after="0" w:line="17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increase in operating income as a percentage of gross profit from the 2021 thirty-nine-week period to the 2022 thirty-nine-week period resulted from operating income increasing at a more rapid percentage rate than the increase in gross profit, as the Company was able to scale our fixed cost infrastructure, primarily certain components of selling, general and administrative costs, across a larger gross profit base. The increase in operating income as a percentage of gross profit from the 2021 thirteen-week period to the 2022 thirteen-week period resulted from operating income increasing notwithstanding a modest decrease in gross profit, as certain components of selling, general and administrative costs, namely incentive and equity compensation under the Company’s variable compensation programs, decreased approximately $8,500,000 from the 2021 thirteen-week period to the 2022 thirteen-week period.</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increase in operating income as a percentage of variable contribution from the 2021 thirty-nine-week period to the 2022 thirty-nine-week period resulted from operating income increasing at a more rapid percentage rate than the increase in variable contribution, as the Company was able to scale our fixed cost infrastructure, primarily certain components of selling, general and administrative costs, as well as certain components of our other costs of revenue, across a larger variable contribution base. The ten basis point increase in operating income as a percentage of variable contribution from the 2021 thirteen-week period to the 2022 thirteen-week period resulted from operating income increasing at a modestly higher percentage rate than the increase in variable contribution, as the Company was able to scale our fixed cost infrastructure, primarily certain components of selling, general and administrative costs across a larger variable contribution base.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THIRTY NINE WEEKS ENDED SEPTEMBER 24, 2022 COMPARED TO THIRTY NINE WEEKS ENDED SEPTEMBER 25, 2021</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Revenue for the 2022 thirty-nine-week period was $5,761,795,000, an increase of $1,169,244,000, or 25%, compared to the 2021 thirty-nine-week period. Transportation revenue increased $1,163,398,000, or 26%. The increase in transportation revenue was attributable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to increased revenue per load of approximately 15% and an increased number of loads hauled of approximately 9% compared to the 2021 thirty-nine-week period. Reinsurance premiums were $58,836,000 and $52,990,000 for the 2022 and 2021 thirty-nine-week periods, respectively. The increase in revenue from reinsurance premiums was primarily attributable to (i) an increase in the aggregate value of equipment insured by BCO Independent Contractors under a physical damage program reinsured by Signature; (ii) an increase in the average number of trucks provided by BCO Independent Contractors and (iii) participation levels among BCO Independent Contractors in certain occupational accident programs and workers’ compensation programs in the 2022 thirty-nine-week period compared to the 2021 thirty-nine-week period.</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Truck transportation revenue generated by BCO Independent Contractors and Truck Brokerage Carriers (together, the “third party truck capacity providers”) for the 2022 thirty-nine-week period was $5,097,248,000, representing 88% of total revenue, an increase of $878,842,000, or 21%, compared to the 2021 thirty-nine-week period. Revenue per load on loads hauled by third party truck capacity providers increased approximately 10% compared to the 2021 thirty-nine-week period, and the number of loads hauled by third party truck capacity providers increased approximately 10% in the 2022 thirty-nine-week period compared to the 2021 thirty-nine-week period.</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increase in revenue per load on loads hauled via truck was due to a tight truck capacity environment experienced during the 2022 thirty-nine-week period, in particular during the first fiscal quarter of 2022, and the impact of higher diesel fuel costs on loads hauled via Truck Brokerage Carriers, partially offset by (i) a decrease in the number of loads hauled via heavy specialized equipment, which typically have a higher revenue per load, as a percentage of total truck loads and (ii) a decreased average length of haul during the 2022 thirty-nine-week period. Revenue per load on loads hauled via van equipment increased 11%, revenue per load on loads hauled via unsided/platform equipment increased 9%, revenue per load on less-than-truckload loadings increased 17% and other truck transportation services revenue per load increased 4% as compared to the 2021 thirty-nine-week period.</w:t>
      </w:r>
    </w:p>
    <w:p>
      <w:pPr>
        <w:spacing w:after="0" w:line="17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increase in the number of loads hauled via truck compared to the 2021 thirty-nine-week period was due to a broad-based increase in demand for the Company’s truck transportation services. Loads hauled via van equipment increased 9%, loads hauled via unsided/platform equipment increased 10%, less-than-truckload loadings increased 6% and loads hauled via other truck transportation services increased 17% as compared to the 2021 thirty-nine-week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Brokerage Carrier revenue identified separately in billings to customers and included as a component of Truck Brokerage Carrier revenue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$153,195,000 and $74,195,000 in the 2022 and 2021 thirty-nine-week periods, respectively. It should be noted that billings to many customers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truck brokerage services include a single all-in rate that does not separately identify fuel surcharges on loads hauled via Truck Brokerage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Carriers. Accordingly, the overall impact of changes in fuel prices on revenue and revenue per load on loads hauled via truck is likely to be greater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indicated.</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rail intermodal, air cargo and ocean cargo carriers (collectively, the “multimode capacity providers”) for the 2022 thirty-nine-week period was $588,918,000, or 10% of total revenue, an increase of $276,427,000, or 88%, compared to the 2021 thirty-nine-week period. Revenue per load on revenue generated by multimode capacity providers increased approximately 99% in the 2022 thirty-nine-week period compared to the 2021 thirty-nine-week period, while the number of loads hauled by multimode capacity providers decreased approximately 5% over the same period. Revenue per load on loads hauled by multimode capacity providers increased for all modes, primarily due to continuing U.S. and global economic recoveries coupled with the impact of global supply chain disruptions which were particularly acute with respect to international ocean and air freight. Revenue per load on loads hauled via air, ocean and rail intermodal increased 139%, 93% and 19%, respectively, during the 2022 thirty-nine-week period as compared to the 2021 thirty-nine-week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21% decrease in rail loadings and a 19% decrease in air loadings, partially offset by a 34% increase in ocean loadings. The 21% decrease in rail loadings was broad-based across several agencies and customers, and the 19% decrease in air loadings was entirely attributable to decreased loadings at one specific customer. The 34% increase in ocean loadings was due to a broad-based increase in demand across many customers for the Company’s ocean services.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Purchased transportation was 78.3% and 78.0% of revenue in the 2022 and 2021 thirty-nine-week periods, respectively. The increase in purchased transportation as a percentage of revenue was primarily due to (i) an increased percentage of revenue generated by Truck Brokerage Carriers, which typically has a higher rate of purchased transportation than revenue generated by BCO Independent Contractors and (ii) an increased percentage of revenue generated by multimode capacity providers, which typically has a higher rate of purchased transportation than third party truck capacity providers, partially offset by a lower rate of purchased transportation on revenue generated by Truck Brokerage Carriers. Commissions to agents were 8.1% and 7.8% of revenue in the 2022 and 2021 thirty-nine-week periods, respectively. The increase in commissions to agents as a percentage of revenue was primarily attributable to a decreased cost of purchased transportation as a percentage of revenue on revenue generated by Truck Brokerage Carriers.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$2,023,000 and $2,138,000 in the 2022 and 2021 thirty-nine-week periods, respectively. The decrease in investment income was primarily attributable to a lower average investment balance held by the insurance segment in the 2022 thirty-nine-week period, partially offset by higher average rates of return on investments in the 2022 thirty-nine-week period.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Other operating costs increased $7,761,000 in the 2022 thirty-nine-week period compared to the 2021 thirty-nine-week period. The increase in other operating costs compared to the prior year was primarily due to (i) increased trailing equipment maintenance costs as a result of (x) increased labor and parts costs charged by the Company’s network of third party trailer maintenance facilities as the Company retained older trailing equipment to support current business levels; and (y) an increased average trailer fleet size during the 2022 thirty-nine-week period and (ii) the impact of the resumption of a large in-person event for the Company’s BCO Independent Contractors.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increased $21,067,000 in the 2022 thirty-nine-week period compared to the 2021 thirty-nine-week period. The increase in insurance and claims expense compared to the prior year was primarily due to increased severity of current year trucking claims during the 2022 thirty-nine-week period, the impact of net unfavorable development of prior years’ claims in the 2022 thirty-nine-week period and increased insurance premiums, primarily for commercial auto and excess liability coverage. During the 2022 and 2021 thirty-nine-week periods, insurance and claims costs included $7,505,000 and $4,522,000 of net unfavorable adjustments to prior years’ claims estimates, respectively.</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costs increased $6,479,000 in the 2022 thirty-nine-week period compared to the 2021 thirty-nine-week period. The increase in selling, general and administrative costs compared to the prior year was attributable to increased wages, an increased provision for customer bad debt and the return of the Company’s annual agent convention held in April 2022, partially offset by decreased stock-based compensation expense and a decreased provision for incentive compensation. Included in selling, general and administrative costs was stock-based compensation expense of $9,409,000 and $18,717,000 for the 2022 and 2021 thirty-nine-week periods, respectively, and incentive compensation expense of $14,185,000 and $21,370,000 for the 2022 and 2021 thirty-nine-week periods, respectively.</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$6,095,000 in the 2022 thirty-nine-week period compared to the 2021 thirty-nine-week period. The increase in depreciation and amortization expense was primarily due to increased depreciation on digital technology tools in connection with the deployment of new and upgraded applications for use by the Company’s network of agents, capacity providers and employees, and to a lesser extent, in connection with increased trailing equipment depreciation.</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Interest and debt expense in the 2022 thirty-nine-week period increased $301,000 compared to the 2021 thirty-nine-week period. The increase in interest and debt expense was primarily attributable to increased average borrowings on the Company’s revolving credit facility during the 2022 thirty-nine-week period, as the Company had no borrowings under its revolving credit facility during the 2021 period. The Company had no borrowings under its revolving credit facility as of the end of the 2022 thirty-nine-week period.</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provisions for income taxes for the 2022 and 2021 thirty-nine-week periods were based on estimated annual effective income tax rates of 24.5% and 24.4%, respectively, adjusted for discrete events, such as benefits resulting from stock-based awards. The estimated annual effective income tax rate was higher than the statutory federal income tax rate of 21% in both periods primarily attributable to state taxes and nondeductible executive compensation. The effective income tax rate for the 2022 thirty-nine-week period was 23.9%, which was lower than the estimated annual effective income tax rate of 24.5%, primarily attributable to excess tax benefits realized on stock-based awards. The effective income tax rate in the 2021 thirty-nine-week period of 24.2% was lower than the 24.4% estimated annual effective income tax rate, primarily due to excess tax benefits realized on stock-based awards in the 2021 thirty-nine-week period.</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Net income was $337,612,000, or $9.15 per diluted share, in the 2022 thirty-nine-week period. Net income was $268,209,000, or $7.00 per diluted share, in the 2021 thirty-nine-week period.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THIRTEEN WEEKS ENDED SEPTEMBER 24, 2022 COMPARED TO THIRTEEN WEEKS ENDED SEPTEMBER 25, 2021</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for the 2022 thirteen-week period was $1,816,132,000, an increase of $81,833,000, or 5%, compared to the 2021 thirteen-week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Transportation revenue increased $80,397,000, or 5%. The increase in transportation revenue was attributable to increased revenue per load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4%, while the number of loads hauled was approximately equal to the 2021 thirteen-week period. Reinsurance premiums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$19,731,000 and $18,295,000 for the 2022 and 2021 thirteen-week periods, respectively. The increase in revenue from reinsurance premiums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primarily attributable to (i) an increase in the aggregate value of equipment insured by BCO</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Independent Contractors under a physical damage program reinsured by Signature; (ii) an increase in the average number of trucks provided by BCO Independent Contractors and (iii) participation levels among BCO Independent Contractors in certain occupational accident programs and workers’ compensation programs in the 2022 thirteen-week period compared to the 2021 thirteen-week period.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Truck transportation revenue generated by third party truck capacity providers for the 2022 thirteen-week period was $1,598,766,000, representing 88% of total revenue, an increase of $18,036,000, or 1%, compared to the 2021 thirteen-week period. The number of loads hauled by third party truck capacity providers increased approximately 1% in the 2022 thirteen-week period compared to the 2021 thirteen-week period, while revenue per load on loads hauled by third party truck capacity providers was approximately equal to the 2021 thirteen-week period.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increase in the number of loads hauled via truck compared to the 2021 thirteen-week period was due to (i) a broad-based increase in demand for the Company’s truck transportation services provided via unsided/platform equipment and (ii) a modest increase in demand for the Company’s truck transportation services provided via van equipment, partially offset by reduced demand for substitute line-haul and power-only services from certain parcel and less-than-truckload carriers. Loads hauled via unsided/platform equipment increased 6% and loads hauled via van equipment increased 2%, while less-than-truckload loadings decreased 8% and other truck transportation services load count decreased 6% as compared to the 2021 thirteen-week period. The number of loads hauled via truck increased 5% in July, was relatively flat in August and then declined 1% in September, as compared to the corresponding periods in 2021.</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$58,658,000 and $28,621,000 in the 2022 and 2021 thirteen-week periods, respectively.</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multimode capacity providers for the 2022 thirteen-week period was $191,904,000, or 11% of total revenue, an increase of $63,321,000, or 49%, compared to the 2021 thirteen-week period. Revenue per load on revenue generated by multimode capacity providers increased approximately 85% in the 2022 thirteen-week period compared to the 2021 thirteen-week period, while the number of loads hauled by multimode capacity providers decreased approximately 19% over the same period. Revenue per load on loads hauled by multimode capacity providers increased for all modes, primarily due to the continuing U.S. and global economic recoveries coupled with the impact of global supply chain disruptions which were particularly acute with respect to international ocean and air freight. Revenue per load on loads hauled via air, ocean and rail intermodal increased 127%, 63% and 10%, respectively, during the 2022 thirteen-week period as compared to the 2021 thirteen-week period. The decrease in the number of loads hauled by multimode capacity providers was due to a 43% decrease in rail loadings, partially offset by an 18% increase in ocean loadings. Air loadings during the 2022 thirteen-week period were approximately equal to the 2021 thirteen-week period. The 43% decrease in rail loadings was broad-based across several agencies and customers. The 18% increase in ocean loadings was due to a broad-based increase in demand across many customers for the Company’s ocean services.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Purchased transportation was 78.0% and 78.2% of revenue in the 2022 and 2021 thirteen-week periods, respectively. The decrease in purchased transportation as a percentage of revenue was primarily due to a lower rate of purchased transportation on revenue generated by Truck Brokerage Carriers, partially offset by (i) an increased percentage of revenue generated by Truck Brokerage Carriers, which typically has a higher rate of purchased transportation than revenue generated by BCO Independent Contractors; and (ii) an increased percentage of revenue generated by multimode capacity providers, which typically has a higher rate of purchased transportation than third party truck capacity providers. Commissions to agents were 8.5% and 7.8% of revenue in the 2022 and 2021 thirteen-week periods, respectively. The increase in commissions to agents as a percentage of revenue was primarily attributable to a decreased cost of purchased transportation as a percentage of revenue on revenue generated by Truck Brokerage Carriers.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income was $716,000 and $706,000 in the 2022 and 2021 thirteen-week periods, respectively.</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Other operating costs increased $2,784,000 in the 2022 thirteen-week period compared to the 2021 thirteen-week period. The increase in other operating costs compared to the prior year was primarily due to (i) increased trailing equipment maintenance costs as a result of (x) increased labor and parts costs as the Company retained older equipment to support current business levels, and (y) an increased average trailer fleet size during the 2022 thirteen-week period, (ii) the impact of the resumption of a large in-person event for the Company’s BCO Independent Contractors and (iii) decreased gains on the sale of operating property.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increased $1,876,000 in the 2022 thirteen-week period compared to the 2021 thirteen-week period. The increase in insurance and claims expense compared to the prior year was primarily due to increased severity of current year trucking claims during the 2022 thirteen-week period as well as increased premiums for commercial auto and excess liability coverage, partially offset by decreased net unfavorable development of prior years’ claims during the 2022 thirteen-week period. During the 2022 and 2021 thirteen-week periods, insurance and claims costs included $2,124,000 and $3,542,000 of net unfavorable adjustments to prior years’ claims estimates,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costs decreased $5,679,000 in the 2022 thirteen-week period compared to the 2021 thirteen-week period. The decrease in selling, general and administrative costs compared to the prior year was attributable to a decreased provision for incentive compensation, decreased stock-based compensation expense and decreased employee benefit costs, partially offset by increased wages. Included in selling, general and administrative costs was incentive compensation expense of $4,462,000 and $8,755,000 for the 2022 and 2021 thirteen-week periods, respectively, and stock-based compensation expense of $3,599,000 and $7,824,000 for the 2022 and 2021 thirteen-week periods, respectively.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$2,294,000 in the 2022 thirteen-week period compared to the 2021 thirteen-week period. The increase in depreciation and amortization expense was primarily due to increased depreciation on digital technology tools in connection with the deployment of new and upgraded applications for use by the Company’s network of agents, capacity providers and employees, and to a lesser extent, in connection with increased trailing equipment depreciation.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and debt expense in the 2022 thirteen-week period increased $82,000 compared to the 2021 thirteen-week period.</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provisions for income taxes for the 2022 and 2021 thirteen-week periods were based on estimated annual effective income tax rates of 24.5% and 24.4%, respectively, adjusted for discrete events, such as benefits resulting from stock-based awards. The estimated annual effective income tax rate was higher than the statutory federal income tax rate of 21% in both periods primarily attributable to state taxes and nondeductible executive compensation. The effective income tax rate for the 2022 thirteen-week period was 24.3%, which was lower than the estimated annual effective income tax rate of 24.5%, primarily attributable to higher than anticipated state income tax refunds and excess tax benefits realized on stock-based awards. The effective income tax rate in the 2021 thirteen-week period of 24.4% was consistent with the estimated annual effective income tax rate of 24.4%.</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Net income was $100,218,000, or $2.76 per diluted share, in the 2022 thirteen-week period. Net income was $98,675,000, or $2.58 per diluted share, in the 2021 thirteen-week period.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Working capital and the ratio of current assets to current liabilities were $543,330,000 and 1.6 to 1, respectively, at September 24, 2022, compared with $512,917,000 and 1.5 to 1, respectively, at December 25, 2021. Landstar has historically operated with current ratios within the range of 1.5 to 1 to 2.0 to 1. Cash provided by operating activities was $436,381,000 in the 2022 thirty-nine-week period compared with $216,990,000 in the 2021 thirty-nine-week period. The increase in cash flow provided by operating activities was primarily attributable to favorable working capital impacts in connection with the timing of collections of receivables and payment of certain payables and increased net income.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declared and paid $0.80 per share, or $29,506,000 in the aggregate, in cash dividends during the thirty-nine-week period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24, 2022 and, during such period, also paid $75,387,000 of dividends payable which were declared during fiscal year 2021 and included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liabilities in the consolidated balance sheet at December 25, 2021. The Company declared and paid $0.67 per share, or $25,693,000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in cash dividends during the thirty-nine-week period ended September 25, 2021 and, during such period, also paid $76,770,000 of dividends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payable which were declared during fiscal year 2020 and included in current liabilities in the consolidated balance sheet at December 26, 2020. During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thirty-nine-week period ended September 24, 2022, the Company purchased 1,900,826 shares of its common stock at a total cost of $285,983,000.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thirty-nine-week period ended September 25, 2021, the Company purchased 317,046 shares of its common stock at a total cost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$50,230,000. As of September 24, 2022, the Company may purchase in the aggregate up to 1,099,174 shares of its common stock under its authorized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purchase program. Long-term debt, including current maturities, was $109,470,000 at September 24, 2022, $2,334,000 lower than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25, 2021.</w:t>
      </w:r>
    </w:p>
    <w:p>
      <w:pPr>
        <w:spacing w:after="0" w:line="20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Shareholders’ equity was $873,173,000, or 89% of total capitalization (defined as long-term debt including current maturities plus equity), at September 24, 2022, compared to $862,010,000, or 89% of total capitalization, at December 25, 2021. The increase in shareholders’ equity was primarily the result of net income, partially offset by purchases of shares of the Company’s common stock, dividends declared by the Company in the 2022 thirty-nine-week period and taxes paid in lieu of shares issued related to stock-based compensation plans.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August 18, 2020, Landstar entered into an amended and restated credit agreement with a syndicate of banks and JPMorgan Chase Bank, N.A., as administrative agent (the “First Amended and Restated Credit Agreement”). As previously disclosed in a Form 8-K filed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with the SEC on July 8, 2022, Landstar entered into a second amended and restated credit agreement, dated July 1, 2022, with a bank syndicate led by JPMorgan Chase Bank, N.A., as administrative agent (the “Second Amended and Restated Credit Agreement”) that superseded and replaced the First Amended and Restated Credit Agreement. The Second Amended and Restated Credit Agreement which matures July 1, 2027, provides for borrowing capacity in the form of a revolving credit facility of $300,000,000, $45,000,000 of which may be utilized in the form of letters of credit. The Second Amended and Restated Credit Agreement also includes an “accordion” feature providing for a possible increase of up to an aggregate amount of borrowing capacity of $600,000,000. The Second Amended and Restated Credit Agreement, which superseded and replaced the First Amended and Restated Credit Agreement, is referred to herein as the “Credit Agreement.” As of September 24, 2022, there were no borrowings outstanding under the revolving credit facility of the Credit Agreement.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At September 24, 2022, the Company had no borrowings outstanding and $33,493,000 of letters of credit outstanding under the Credit Agreement. At September 24, 2022, there was $266,507,000 available for future borrowings under the Credit Agreement. In addition, the Company has $76,567,000 in letters of credit outstanding as collateral for insurance claims that are secured by investments totaling $85,074,000 at September 24, 2022.</w:t>
      </w:r>
    </w:p>
    <w:p>
      <w:pPr>
        <w:spacing w:after="0" w:line="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Investments, all of which are carried at fair value, include primarily investment-grade bonds and asset-backed securities having maturities of up to five years. Fair value of investments is based primarily on quoted market prices. See “Notes to Consolidated Financial Statements” included herein for further discussion on measurement of fair value of investments.</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the 2022 thirty-nine-week period, the Company purchased $21,096,000 of operating property and acquired $26,741,000 of trailing equipment by entering into finance leases. Landstar anticipates acquiring either by purchase or lease financing during the remainder of fiscal year 2022 approximately $17,000,000 in operating property, consisting primarily of new trailing equipment to replace older trailing equipment and information technology equipment.</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 and meet working capital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MATTERS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During the 2022 and 2021 thirty-nine-week periods, insurance and claims costs included $7,505,000 and $4,522,000 of net unfavorable adjustments to prior years’ claims estimates, respectively. It is reasonably likely that the ultimate outcome of settling all outstanding claims will be more or less than the estimated claims liability at September 24, 2022.</w:t>
      </w:r>
    </w:p>
    <w:p>
      <w:pPr>
        <w:spacing w:after="0" w:line="18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Significant variances from management’s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SEASONALITY</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Landstar’s operations are subject to seasonal trends common to the trucking industry. Truckload shipments for the quarter ending in March are typically lower than for the quarters ending June, September and December.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On August 18, 2020, Landstar entered into the First Amended and Restated Credit Agreement with a syndicate of banks and JPMorgan Chase Bank, N.A., as administrative agent. As previously disclosed in a Form 8-K filed with the SEC on July 8, 2022, Landstar entered into the Second Amended and Restated Credit Agreement, dated July 1, 2022, with a bank syndicate led by JPMorgan Chase Bank, N.A., as administrative agent. The Second Amended and Restated Credit Agreement, which superseded and replaced the First Amended and Restated Credit Agreement, is referred to herein as the “Credit Agreement.” The Second Amended and Restated Credit Agreement which matures July 1, 2027, provides for borrowing capacity in the form of a revolving credit facility of $300,000,000, $45,000,000 of which may be utilized in the form of letters of credit. The Second Amended and Restated Credit Agreement also includes an “accordion” feature providing for a possible increase of up to an aggregate amount of borrowing capacity of $600,000,000.</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revolving credit loans under the Credit Agreement as of September 24, 2022,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0.20% to 0.30%, based on the Company’s Leverage Ratio at the end of the most recent applicable fiscal quarter for which financial statements have been delivered. During the entire third quarter of 2022 and as of September 24, 2022 and December 25, 2021, the Company had no borrowings outstanding under the Credit Agreement.</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Long-term investments, all of which are available-for-sale and are carried at fair value, include primarily investment-grade bonds and asset-backed securities having maturities of up to five years. Assuming that the long-term portion of investments remains at $111,457,000, the balance at September 24, 2022,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when they occur. The assets held at the Company’s Canadian and Mexican subsidiaries at September 24, 2022 were collectively, as translated to U.S. dollars, approximately 2% of total consolidated assets. Accordingly, translation gains or losses of 50% or less related to the Canadian and Mexican operations would not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carried out, under the supervision and with the participation of the Company’s management, including the Chief Executive Officer (“CEO”) and the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September 24, 2022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8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third quarter of 2022, which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Part I, Item 2, “</w:t>
      </w:r>
      <w:r>
        <w:rPr>
          <w:rFonts w:ascii="Times New Roman" w:cs="Times New Roman" w:eastAsia="Times New Roman" w:hAnsi="Times New Roman"/>
          <w:sz w:val="18"/>
          <w:szCs w:val="18"/>
          <w:i w:val="1"/>
          <w:iCs w:val="1"/>
          <w:color w:val="auto"/>
        </w:rPr>
        <w:t>Management’s Discussion and Analysis of Financial Condition and Results of Operations — Legal Matters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For a discussion identifying risk factors and other important factors that could cause actual results to differ materially from those anticipated, see the discussions under Part I, Item 1A, “Risk Factors” in the Company’s Annual Report on Form 10-K for the fiscal year ended December 25, 2021, under Part II, Item 1A, “Risk Factors” in the Company’s Quarterly Report on Form 10-Q for the quarterly periods ended March 26, 2022 and June 25, 2022, and in “Management’s Discussion and Analysis of Financial Condition and Results of Operations” and “Notes to Consolidated Financial Statements” in this Quarterly Report on Form 10-Q.</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under Part II, Item 1A, “Risk Factors” in the Company’s Quarterly Reports on Form 10-Q for the quarterly periods ended March 26, 2022 and June 25, 2022, there have been no material changes to the Risk Factors described in Part I “Item 1A. Risk Factors” in the Company’s Annual Report on Form 10-K for the fiscal year ended December 25, 2021, as filed with the SEC.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Purchases of Equity Securities by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 of its common stock during the period from June 26, 2022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24, 2022, the Company’s third fiscal quarter:</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Total Number of Shares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color w:val="auto"/>
              </w:rPr>
              <w:t>Total Number of</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w:t>
            </w: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Purchased as Part of</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Shares That May Yet</w:t>
            </w:r>
          </w:p>
        </w:tc>
        <w:tc>
          <w:tcPr>
            <w:tcW w:w="0" w:type="dxa"/>
            <w:vAlign w:val="bottom"/>
          </w:tcPr>
          <w:p>
            <w:pPr>
              <w:spacing w:after="0"/>
              <w:rPr>
                <w:sz w:val="1"/>
                <w:szCs w:val="1"/>
                <w:color w:val="auto"/>
              </w:rPr>
            </w:pPr>
          </w:p>
        </w:tc>
      </w:tr>
      <w:tr>
        <w:trPr>
          <w:trHeight w:val="148"/>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62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Publicly Announced</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Be Purchased Under</w:t>
            </w:r>
          </w:p>
        </w:tc>
        <w:tc>
          <w:tcPr>
            <w:tcW w:w="0" w:type="dxa"/>
            <w:vAlign w:val="bottom"/>
          </w:tcPr>
          <w:p>
            <w:pPr>
              <w:spacing w:after="0"/>
              <w:rPr>
                <w:sz w:val="1"/>
                <w:szCs w:val="1"/>
                <w:color w:val="auto"/>
              </w:rPr>
            </w:pPr>
          </w:p>
        </w:tc>
      </w:tr>
      <w:tr>
        <w:trPr>
          <w:trHeight w:val="158"/>
        </w:trPr>
        <w:tc>
          <w:tcPr>
            <w:tcW w:w="3740" w:type="dxa"/>
            <w:vAlign w:val="bottom"/>
            <w:gridSpan w:val="3"/>
            <w:vMerge w:val="continue"/>
          </w:tcPr>
          <w:p>
            <w:pPr>
              <w:spacing w:after="0"/>
              <w:rPr>
                <w:sz w:val="13"/>
                <w:szCs w:val="13"/>
                <w:color w:val="auto"/>
              </w:rPr>
            </w:pPr>
          </w:p>
        </w:tc>
        <w:tc>
          <w:tcPr>
            <w:tcW w:w="1620" w:type="dxa"/>
            <w:vAlign w:val="bottom"/>
            <w:gridSpan w:val="2"/>
          </w:tcPr>
          <w:p>
            <w:pPr>
              <w:jc w:val="center"/>
              <w:ind w:right="600"/>
              <w:spacing w:after="0" w:line="158" w:lineRule="exact"/>
              <w:rPr>
                <w:sz w:val="20"/>
                <w:szCs w:val="20"/>
                <w:color w:val="auto"/>
              </w:rPr>
            </w:pPr>
            <w:r>
              <w:rPr>
                <w:rFonts w:ascii="Times New Roman" w:cs="Times New Roman" w:eastAsia="Times New Roman" w:hAnsi="Times New Roman"/>
                <w:sz w:val="14"/>
                <w:szCs w:val="14"/>
                <w:color w:val="auto"/>
              </w:rPr>
              <w:t>Shares Purchased</w:t>
            </w:r>
          </w:p>
        </w:tc>
        <w:tc>
          <w:tcPr>
            <w:tcW w:w="1460" w:type="dxa"/>
            <w:vAlign w:val="bottom"/>
            <w:gridSpan w:val="3"/>
          </w:tcPr>
          <w:p>
            <w:pPr>
              <w:jc w:val="right"/>
              <w:ind w:right="620"/>
              <w:spacing w:after="0" w:line="158" w:lineRule="exact"/>
              <w:rPr>
                <w:sz w:val="20"/>
                <w:szCs w:val="20"/>
                <w:color w:val="auto"/>
              </w:rPr>
            </w:pPr>
            <w:r>
              <w:rPr>
                <w:rFonts w:ascii="Times New Roman" w:cs="Times New Roman" w:eastAsia="Times New Roman" w:hAnsi="Times New Roman"/>
                <w:sz w:val="14"/>
                <w:szCs w:val="14"/>
                <w:color w:val="auto"/>
                <w:w w:val="99"/>
              </w:rPr>
              <w:t>Paid Per Share</w:t>
            </w:r>
          </w:p>
        </w:tc>
        <w:tc>
          <w:tcPr>
            <w:tcW w:w="1980" w:type="dxa"/>
            <w:vAlign w:val="bottom"/>
            <w:gridSpan w:val="2"/>
          </w:tcPr>
          <w:p>
            <w:pPr>
              <w:jc w:val="center"/>
              <w:ind w:right="600"/>
              <w:spacing w:after="0" w:line="158" w:lineRule="exact"/>
              <w:rPr>
                <w:sz w:val="20"/>
                <w:szCs w:val="20"/>
                <w:color w:val="auto"/>
              </w:rPr>
            </w:pPr>
            <w:r>
              <w:rPr>
                <w:rFonts w:ascii="Times New Roman" w:cs="Times New Roman" w:eastAsia="Times New Roman" w:hAnsi="Times New Roman"/>
                <w:sz w:val="14"/>
                <w:szCs w:val="14"/>
                <w:color w:val="auto"/>
              </w:rPr>
              <w:t>Programs</w:t>
            </w:r>
          </w:p>
        </w:tc>
        <w:tc>
          <w:tcPr>
            <w:tcW w:w="132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the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25, 2022</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1,603,239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26, 2022 – July 23, 2022</w:t>
            </w: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2022 – August 20, 2022</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12,110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146.44</w:t>
            </w:r>
          </w:p>
        </w:tc>
        <w:tc>
          <w:tcPr>
            <w:tcW w:w="1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12,110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21, 2022 – September 24,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491,955</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6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491,955</w:t>
            </w:r>
          </w:p>
        </w:tc>
        <w:tc>
          <w:tcPr>
            <w:tcW w:w="6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504,065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145.52</w:t>
            </w:r>
          </w:p>
        </w:tc>
        <w:tc>
          <w:tcPr>
            <w:tcW w:w="1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504,065</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7, 2021, the Landstar System, Inc. Board of Directors authorized the Company to purchase up to 1,912,824 additional shares of the Company’s common stock from time to time in the open market and in privately negotiated transactions. As of September 24, 2022, the Company had authorization to purchase in the aggregate up to 1,099,174 shares of its common stock under this program. No specific expiration date has been assigned to the December 7, 2021 authorization.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previously disclosed in a Form 8-K filed with the SEC on July 8, 2022, Landstar entered into the Second Amended and Restated Credit Agreement, dated July 1, 2022, with a bank syndicate led by JPMorgan Chase Bank, N.A., as administrative agent (the “Credit Agreement”). The Credit Agreement provides for a restriction on cash dividends and other distributions to stockholders on the Company’s capital stock in the event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as defined in the Credit Agreement, would exceed 2.5 to 1 on a pro forma basis as of the end of the Company’s most recently completed fiscal quarter.</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on the Exhibit Index are furnished as part of this quarterly report on Form 10-Q.</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Registrant’s Commission File No.: 0-21238</w:t>
      </w:r>
    </w:p>
    <w:p>
      <w:pPr>
        <w:spacing w:after="0" w:line="248"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14"/>
          <w:szCs w:val="14"/>
          <w:u w:val="single" w:color="auto"/>
          <w:color w:val="auto"/>
        </w:rPr>
        <w:t>Exhibit 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1300" w:hanging="118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Landstar System, Inc. 2022 Directors Stock Compensation Plan (Incorporated by reference to Appendix A to the Registrant’s Definitive</w:t>
              </w:r>
            </w:hyperlink>
          </w:p>
        </w:tc>
      </w:tr>
      <w:tr>
        <w:trPr>
          <w:trHeight w:val="196"/>
        </w:trPr>
        <w:tc>
          <w:tcPr>
            <w:tcW w:w="1180" w:type="dxa"/>
            <w:vAlign w:val="bottom"/>
          </w:tcPr>
          <w:p>
            <w:pPr>
              <w:spacing w:after="0"/>
              <w:rPr>
                <w:sz w:val="17"/>
                <w:szCs w:val="17"/>
                <w:color w:val="auto"/>
              </w:rPr>
            </w:pPr>
          </w:p>
        </w:tc>
        <w:tc>
          <w:tcPr>
            <w:tcW w:w="9800" w:type="dxa"/>
            <w:vAlign w:val="bottom"/>
            <w:gridSpan w:val="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Proxy Statement filed on March 29, 2022 (Commission File No. 0-21238))</w:t>
              </w:r>
            </w:hyperlink>
          </w:p>
        </w:tc>
      </w:tr>
      <w:tr>
        <w:trPr>
          <w:trHeight w:val="20"/>
        </w:trPr>
        <w:tc>
          <w:tcPr>
            <w:tcW w:w="118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Second Amended and Restated Credit Agreement, dated as of July 1, 2022, among Landstar System Holdings, Inc., the Company, the</w:t>
              </w:r>
            </w:hyperlink>
          </w:p>
        </w:tc>
        <w:tc>
          <w:tcPr>
            <w:tcW w:w="16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lenders named therein, and JPMorgan Chase Bank, N.A. as Administrative Agent (including exhibits and schedules thereto).</w:t>
              </w:r>
            </w:hyperlink>
          </w:p>
        </w:tc>
        <w:tc>
          <w:tcPr>
            <w:tcW w:w="82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(Incorporated by reference to Exhibit 10.1 to the Registrant’s Form 8-K filed on July 8, 2022 (Commission File No. 0-21238))</w:t>
              </w:r>
            </w:hyperlink>
          </w:p>
        </w:tc>
        <w:tc>
          <w:tcPr>
            <w:tcW w:w="700" w:type="dxa"/>
            <w:vAlign w:val="bottom"/>
            <w:gridSpan w:val="2"/>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Letter agreement, dated July 1, 2022, between Landstar System, Inc. and Fred L. Pensotti</w:t>
            </w:r>
          </w:p>
        </w:tc>
      </w:tr>
      <w:tr>
        <w:trPr>
          <w:trHeight w:val="20"/>
        </w:trPr>
        <w:tc>
          <w:tcPr>
            <w:tcW w:w="118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0" w:hanging="118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302 of the Sarbanes-Oxley Act of 2002.</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31.1*</w:t>
            </w:r>
          </w:p>
        </w:tc>
        <w:tc>
          <w:tcPr>
            <w:tcW w:w="7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as adopted pursuant to Section 302 of the Sarbanes-Oxley Act of 2002.</w:t>
            </w: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31.2*</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Chief Financial Officer certification, as 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0" w:hanging="118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906 of the Sarbanes-Oxley Act of 2002.</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 as adopted pursuant to Section 906 of the Sarbanes-Oxley Act</w:t>
            </w:r>
          </w:p>
        </w:tc>
      </w:tr>
      <w:tr>
        <w:trPr>
          <w:trHeight w:val="196"/>
        </w:trPr>
        <w:tc>
          <w:tcPr>
            <w:tcW w:w="1180" w:type="dxa"/>
            <w:vAlign w:val="bottom"/>
          </w:tcPr>
          <w:p>
            <w:pPr>
              <w:spacing w:after="0"/>
              <w:rPr>
                <w:sz w:val="17"/>
                <w:szCs w:val="17"/>
                <w:color w:val="auto"/>
              </w:rPr>
            </w:pPr>
          </w:p>
        </w:tc>
        <w:tc>
          <w:tcPr>
            <w:tcW w:w="9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18 U.S.C. Section 1350, as adopted pursuant to Section 906 of the Sarbanes-Oxley Act</w:t>
            </w:r>
          </w:p>
        </w:tc>
      </w:tr>
      <w:tr>
        <w:trPr>
          <w:trHeight w:val="196"/>
        </w:trPr>
        <w:tc>
          <w:tcPr>
            <w:tcW w:w="1180" w:type="dxa"/>
            <w:vAlign w:val="bottom"/>
          </w:tcPr>
          <w:p>
            <w:pPr>
              <w:spacing w:after="0"/>
              <w:rPr>
                <w:sz w:val="17"/>
                <w:szCs w:val="17"/>
                <w:color w:val="auto"/>
              </w:rPr>
            </w:pPr>
          </w:p>
        </w:tc>
        <w:tc>
          <w:tcPr>
            <w:tcW w:w="97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0" w:type="dxa"/>
            <w:vAlign w:val="bottom"/>
            <w:gridSpan w:val="2"/>
          </w:tcPr>
          <w:p>
            <w:pPr>
              <w:spacing w:after="0" w:line="20" w:lineRule="exact"/>
              <w:rPr>
                <w:sz w:val="1"/>
                <w:szCs w:val="1"/>
                <w:color w:val="auto"/>
              </w:rPr>
            </w:pPr>
          </w:p>
        </w:tc>
      </w:tr>
      <w:tr>
        <w:trPr>
          <w:trHeight w:val="3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25" w:lineRule="exact"/>
        <w:rPr>
          <w:sz w:val="20"/>
          <w:szCs w:val="20"/>
          <w:color w:val="auto"/>
        </w:rPr>
      </w:pPr>
    </w:p>
    <w:p>
      <w:pPr>
        <w:ind w:left="120" w:right="6260" w:hanging="4"/>
        <w:spacing w:after="0" w:line="261" w:lineRule="auto"/>
        <w:tabs>
          <w:tab w:leader="none" w:pos="5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ind w:left="120"/>
        <w:spacing w:after="0"/>
        <w:tabs>
          <w:tab w:leader="none" w:pos="330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7"/>
          <w:szCs w:val="17"/>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17145</wp:posOffset>
            </wp:positionV>
            <wp:extent cx="4963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20"/>
        <w:spacing w:after="0"/>
        <w:tabs>
          <w:tab w:leader="none" w:pos="330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7"/>
          <w:szCs w:val="17"/>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17145</wp:posOffset>
            </wp:positionV>
            <wp:extent cx="4963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Vice President, Chief Financial Officer and Assistant Secretary</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320" w:top="482" w:right="7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This General Release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hereby entered into between Federico L. Pensotti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Landstar System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this 1st day of July,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Executive and the Company are parties to an employment agreement dated as of May 20, 2021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WHEREAS, pursuant to the Employment Agreement, Executive is entitled to certain severance benefits upon the execution of a general release in favor of the Company;</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exchange for the good and valuable consideration set forth in Section 2 and Section 9(b) hereof, the adequacy of which is specifically acknowledged, Executive hereby agrees as follows:</w:t>
      </w:r>
    </w:p>
    <w:p>
      <w:pPr>
        <w:spacing w:after="0" w:line="54" w:lineRule="exact"/>
        <w:rPr>
          <w:sz w:val="20"/>
          <w:szCs w:val="20"/>
          <w:color w:val="auto"/>
        </w:rPr>
      </w:pPr>
    </w:p>
    <w:p>
      <w:pPr>
        <w:ind w:right="140" w:firstLine="436"/>
        <w:spacing w:after="0" w:line="26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xml:space="preserve">. By mutual agreement of the Company and Executive, Executive’s employment with the Company and each of its affiliated entities (the Company, together with such entities, collectively,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xml:space="preserve">) terminated effective July 1, 2022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Executive agrees to execute any documents necessary to effectuate or memorialize such termination.</w:t>
      </w:r>
    </w:p>
    <w:p>
      <w:pPr>
        <w:spacing w:after="0" w:line="175"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Subject to Executive having not revoked this Agreement in accordance with its terms, the Company shall provide Executive severance in the amount of equal to </w:t>
      </w:r>
      <w:r>
        <w:rPr>
          <w:rFonts w:ascii="Times New Roman" w:cs="Times New Roman" w:eastAsia="Times New Roman" w:hAnsi="Times New Roman"/>
          <w:sz w:val="18"/>
          <w:szCs w:val="18"/>
          <w:b w:val="1"/>
          <w:bCs w:val="1"/>
          <w:color w:val="auto"/>
        </w:rPr>
        <w:t>$831,250</w:t>
      </w:r>
      <w:r>
        <w:rPr>
          <w:rFonts w:ascii="Times New Roman" w:cs="Times New Roman" w:eastAsia="Times New Roman" w:hAnsi="Times New Roman"/>
          <w:sz w:val="18"/>
          <w:szCs w:val="18"/>
          <w:color w:val="auto"/>
        </w:rPr>
        <w:t>, which reflects the sum of (i) Executive’s annual base salary and (ii) Executive’s target annual bonus, which is equal to 75% of his annual base salary. In accordance with the terms of the Employment Agreement and subject to the execution and non-revocation of this Agreement, such amount will be paid upon the expiration of the 60-day period following the Termination Date. Executive understands and agrees that the Company shall not make any other payments or provide any other benefits to Executive, except as specifically described in this Agreement.</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5"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entitled, at his own expense, to continue to participate in the Company’s group medical and health benefits plan from and after the Termination Date to the extent required under applicable law (the </w:t>
      </w: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subject to his timely electing to continue such participation and to paying any and all required premiums. Notwithstanding the foregoing, in no event should such COBRA Coverage (or the Company’s obligation to pay for such COBRA Coverage) extend beyond the time Executive qualifies for Medicare or coverage under another group benefits plan providing health care benefits (</w:t>
      </w:r>
      <w:r>
        <w:rPr>
          <w:rFonts w:ascii="Times New Roman" w:cs="Times New Roman" w:eastAsia="Times New Roman" w:hAnsi="Times New Roman"/>
          <w:sz w:val="18"/>
          <w:szCs w:val="18"/>
          <w:b w:val="1"/>
          <w:bCs w:val="1"/>
          <w:color w:val="auto"/>
        </w:rPr>
        <w:t>“Other Health Care Insurance Benefits”</w:t>
      </w:r>
      <w:r>
        <w:rPr>
          <w:rFonts w:ascii="Times New Roman" w:cs="Times New Roman" w:eastAsia="Times New Roman" w:hAnsi="Times New Roman"/>
          <w:sz w:val="18"/>
          <w:szCs w:val="18"/>
          <w:color w:val="auto"/>
        </w:rPr>
        <w:t>), which shall include, without limitation, eligibility for medical benefits from another employer on the basis of his employment. Executive agrees to notify the Company within 10 days of first becoming eligible for any such Other Health Care Insurance Benefits.</w:t>
      </w:r>
    </w:p>
    <w:p>
      <w:pPr>
        <w:sectPr>
          <w:pgSz w:w="11900" w:h="16838" w:orient="portrait"/>
          <w:cols w:equalWidth="0" w:num="1">
            <w:col w:w="11020"/>
          </w:cols>
          <w:pgMar w:left="440" w:top="117"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right="100" w:firstLine="436"/>
        <w:spacing w:after="0" w:line="256"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any accrued, vested benefits available as of the Termination Date under the terms of the Company’s 401(k) retirement plan. Executive shall also be entitled to his rights in respect of any vested rights outstanding at the Termination Date awarded pursuant to the Company’s Equity Incentive Plan, as determined in accordance with the “Equity” Section of the Employment Agreement. For the avoidance of doubt, Executive acknowledges that all outstanding equity awards held by Executive that have not become vested as of the Termination Date were cancelled and forfeited for no additional consideration as of the Termination Date. Executive shall also be entitled to a one-time payment for any earned, but unused vacation days, less lawful deductions. Such amount will be paid promptly following the Termination Date.</w:t>
      </w:r>
    </w:p>
    <w:p>
      <w:pPr>
        <w:spacing w:after="0" w:line="187"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benefits associated with Executive’s employment, except those identified by this Agreement in Section 3(a) and Section 3(b), ceased as of the Termination Date.</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Termination Date Executive shall return all property of the Company in his possession, except Executive may keep the phone and computer provided by the Company (the “</w:t>
      </w:r>
      <w:r>
        <w:rPr>
          <w:rFonts w:ascii="Times New Roman" w:cs="Times New Roman" w:eastAsia="Times New Roman" w:hAnsi="Times New Roman"/>
          <w:sz w:val="18"/>
          <w:szCs w:val="18"/>
          <w:b w:val="1"/>
          <w:bCs w:val="1"/>
          <w:color w:val="auto"/>
        </w:rPr>
        <w:t>Retained Property”)</w:t>
      </w:r>
      <w:r>
        <w:rPr>
          <w:rFonts w:ascii="Times New Roman" w:cs="Times New Roman" w:eastAsia="Times New Roman" w:hAnsi="Times New Roman"/>
          <w:sz w:val="18"/>
          <w:szCs w:val="18"/>
          <w:color w:val="auto"/>
        </w:rPr>
        <w:t xml:space="preserve"> subject to Executive making the Retained Property available to the Company to remove and erase Company information on or prior to the Termination Date.</w:t>
      </w:r>
    </w:p>
    <w:p>
      <w:pPr>
        <w:spacing w:after="0" w:line="172" w:lineRule="exact"/>
        <w:rPr>
          <w:sz w:val="20"/>
          <w:szCs w:val="20"/>
          <w:color w:val="auto"/>
        </w:rPr>
      </w:pPr>
    </w:p>
    <w:p>
      <w:pPr>
        <w:ind w:right="280" w:firstLine="436"/>
        <w:spacing w:after="0" w:line="262"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“RELEASED PARTIES”</w:t>
      </w:r>
      <w:r>
        <w:rPr>
          <w:rFonts w:ascii="Times New Roman" w:cs="Times New Roman" w:eastAsia="Times New Roman" w:hAnsi="Times New Roman"/>
          <w:sz w:val="18"/>
          <w:szCs w:val="18"/>
          <w:color w:val="auto"/>
        </w:rPr>
        <w:t xml:space="preserve">. In this Agreement, the word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xml:space="preserve"> means each member of the Company Group (including, but not limited to, each such member by which Executive was employed); the partners, members, principals, Executives, agents, officers, directors, and shareholders of each member of the Company Group; and any person or entity which may succeed to the rights and liabilities of any of the foregoing entities or persons by assignment or otherwise.</w:t>
      </w:r>
    </w:p>
    <w:p>
      <w:pPr>
        <w:spacing w:after="0" w:line="180" w:lineRule="exact"/>
        <w:rPr>
          <w:rFonts w:ascii="Times New Roman" w:cs="Times New Roman" w:eastAsia="Times New Roman" w:hAnsi="Times New Roman"/>
          <w:sz w:val="18"/>
          <w:szCs w:val="18"/>
          <w:color w:val="auto"/>
        </w:rPr>
      </w:pPr>
    </w:p>
    <w:p>
      <w:pPr>
        <w:ind w:right="20" w:firstLine="436"/>
        <w:spacing w:after="0" w:line="254"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on behalf of himself, his agents, representatives, administrators, receivers, trustees, executives, successors, heirs, designees, legal representatives, assignees, and attorneys hereby irrevocably and forever releases, discharges the Released Parties from any and all claims, demands, actions, or causes of action, of any kind or nature, past or present, known or unknown, arising out of, or in any way connected with, his employment or his separation from employment with the Company Group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other than Claims Executive may have for the payment or provision of the compensation and benefits described in Sections 2 and 3 of this Agreement. Executive expressly intends to release (and understands that by this Release he is releasing) all Claims of whatever kind or nature, whether presently known, unknown, suspected, or unsuspected by Executive. Executive understands and acknowledges that Executive could hereafter discover facts different from or in addition to those Executive now believes to be true with respect to the matters released in this Release, and assumes any and all risk of mistake (or discovery of additional facts) in connection with the matters giving rise to the execution of this Agreement.</w:t>
      </w:r>
    </w:p>
    <w:p>
      <w:pPr>
        <w:sectPr>
          <w:pgSz w:w="11900" w:h="16838" w:orient="portrait"/>
          <w:cols w:equalWidth="0" w:num="1">
            <w:col w:w="11020"/>
          </w:cols>
          <w:pgMar w:left="440" w:top="266"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right="40" w:firstLine="436"/>
        <w:spacing w:after="0" w:line="25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EXTENT OF RELEASE</w:t>
      </w:r>
      <w:r>
        <w:rPr>
          <w:rFonts w:ascii="Times New Roman" w:cs="Times New Roman" w:eastAsia="Times New Roman" w:hAnsi="Times New Roman"/>
          <w:sz w:val="18"/>
          <w:szCs w:val="18"/>
          <w:color w:val="auto"/>
        </w:rPr>
        <w:t>. This Agreement is valid whether any claim arises under any federal, state, or local statute (including, but not limited to, Title VII of the Civil Rights Act of 1964, the Civil Rights Act of 1991, the Age Discrimination in Employment Act of 1967, the Equal Pay Act, the Fair Labor Standards Act, the Family Medical Leave Act, the Rehabilitation Act of 1973, the Americans with Disabilities Act of 1990, the Executive Retirement Income Security Act of 1974 (ERISA), the Florida Civil Rights Act of 1992, as amended, all Florida state and local county wage and hour statutes and orders, and all Florida state or local county employment and labor related statutes, rules, laws or regulations.), and all other statutes (including, but not limited to, any state or local statute) regulating the terms and conditions of Executive’s employment, including, but not limited to, laws pertaining to the payment of wages, the provision of benefits or insurance and the provision of workers’ compensation), regulation or ordinance, under the common law or in equity (including, but not limited to, any claims for wrongful discharge or termination, infliction of physical damage or emotional distress, or defamation), or under any policy, agreement, understanding or promise, written or oral, formal or informal, between any member of the Company Group and the Executive or otherwise adopted, promulgated or implemented by any member of the Company Group. The Release also includes, but is not limited to, any possible or potential claim pursuant to any federal, state or local whistleblower law, breach of implied or express contract, misrepresentation, wrongful discharge, or any other employment related tort, common law or contract claim, including claims for attorneys’ fees, costs, and/or expenses. The Executive intends the Release to cover and waive any and all claims to the fullest extent as permitted by any applicable law, including claims for fraud in the inducement of this Agreement.</w:t>
      </w:r>
    </w:p>
    <w:p>
      <w:pPr>
        <w:spacing w:after="0" w:line="197" w:lineRule="exact"/>
        <w:rPr>
          <w:rFonts w:ascii="Times New Roman" w:cs="Times New Roman" w:eastAsia="Times New Roman" w:hAnsi="Times New Roman"/>
          <w:sz w:val="18"/>
          <w:szCs w:val="18"/>
          <w:color w:val="auto"/>
        </w:rPr>
      </w:pPr>
    </w:p>
    <w:p>
      <w:pPr>
        <w:ind w:right="160" w:firstLine="436"/>
        <w:spacing w:after="0" w:line="261"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consideration hereby provided to Executive under this Agreement is not required under the standard practices or policies of the Company Group and would not be payable under the Employment Agreement or otherwise provided to Executive but for the execution, delivery and non-revocation of this Agreement. Executive attests that he knows of no circumstances other than his agreeing to the terms of this Agreement which would require any member of the Company Group to provide him with such consideration.</w:t>
      </w:r>
    </w:p>
    <w:p>
      <w:pPr>
        <w:spacing w:after="0" w:line="179" w:lineRule="exact"/>
        <w:rPr>
          <w:rFonts w:ascii="Times New Roman" w:cs="Times New Roman" w:eastAsia="Times New Roman" w:hAnsi="Times New Roman"/>
          <w:sz w:val="18"/>
          <w:szCs w:val="18"/>
          <w:color w:val="auto"/>
        </w:rPr>
      </w:pPr>
    </w:p>
    <w:p>
      <w:pPr>
        <w:ind w:right="40" w:firstLine="436"/>
        <w:spacing w:after="0" w:line="273"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Executive attests that he has not filed, nor will he initiate or cause to be initiated on his behalf, any complaint, charge, claim, or proceeding against any member of the Company Group before any local, state or federal agency, court, or other body relating to his employment or the termination thereof (each individually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Except for the right to payment of the severance benefits described in Section 2, Executive waives the right to benefit in any manner from relief, including but not limited to recovery of damages of any nature, including compensatory, general, special or punitive; costs, fees, or other expenses, including attorneys’ fees incurred in seeking recovery of damages; and non-monetary relief arising out of any Proceeding, including any EEOC proceeding. By entering into this Agreement, Executive acknowledges that he will be limiting the availability of certain remedies that he may have against the Released Parties, and also will be limiting his ability to pursue any Claims against the Released Parties.</w:t>
      </w:r>
    </w:p>
    <w:p>
      <w:pPr>
        <w:sectPr>
          <w:pgSz w:w="11900" w:h="16838" w:orient="portrait"/>
          <w:cols w:equalWidth="0" w:num="1">
            <w:col w:w="11020"/>
          </w:cols>
          <w:pgMar w:left="440" w:top="266"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620" w:hanging="18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DISPARAGEMENT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74" w:lineRule="auto"/>
        <w:tabs>
          <w:tab w:leader="none" w:pos="68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Executive will not, directly or indirectly, engage in any conduct (including written, oral or electronic statements or other communications to the print or electronic media) intended to embarrass, impair the reputation of or otherwise disparage any of the Released Parties, or that could reasonably be expected to embarrass, impair the reputation of or otherwise disparage any of the Released Parties in any material way;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Executive shall not be precluded from taking any action or making any statement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to the extent required by applicable law,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in the course of providing information to government officials within the scope of their regulatory or enforcement authority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to the extent necessary to accurately and truthfully respond to any legal or administrative proceeding, government investigation or similar proceeding or inquiry to which he is a party or of which he is a subject.</w:t>
      </w:r>
    </w:p>
    <w:p>
      <w:pPr>
        <w:spacing w:after="0" w:line="172" w:lineRule="exact"/>
        <w:rPr>
          <w:rFonts w:ascii="Times New Roman" w:cs="Times New Roman" w:eastAsia="Times New Roman" w:hAnsi="Times New Roman"/>
          <w:sz w:val="17"/>
          <w:szCs w:val="17"/>
          <w:color w:val="auto"/>
        </w:rPr>
      </w:pPr>
    </w:p>
    <w:p>
      <w:pPr>
        <w:ind w:right="20" w:firstLine="436"/>
        <w:spacing w:after="0" w:line="255"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directly or indirectly, engage in any conduct (including written, oral or electronic statements or other communications to the print or electronic media) intended to embarrass, impair the reputation of or otherwise disparage the Executive, or that could reasonably be expected to embarrass, impair the reputation of or otherwise disparage the Executive in any material way;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Released Parties shall not be precluded from taking any action or making any statement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the extent required by applicable law,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course of providing information to government officials within the scope of their regulatory or enforcement authority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the extent necessary to accurately and truthfully respond to any legal or administrative proceeding, government investigation or similar proceeding or inquiry to which any Released Party is a party or of which any Released Party is a subject.</w:t>
      </w:r>
    </w:p>
    <w:p>
      <w:pPr>
        <w:spacing w:after="0" w:line="189" w:lineRule="exact"/>
        <w:rPr>
          <w:sz w:val="20"/>
          <w:szCs w:val="20"/>
          <w:color w:val="auto"/>
        </w:rPr>
      </w:pPr>
    </w:p>
    <w:p>
      <w:pPr>
        <w:ind w:right="80" w:firstLine="436"/>
        <w:spacing w:after="0" w:line="282"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 OF WRONGDOING</w:t>
      </w:r>
      <w:r>
        <w:rPr>
          <w:rFonts w:ascii="Times New Roman" w:cs="Times New Roman" w:eastAsia="Times New Roman" w:hAnsi="Times New Roman"/>
          <w:sz w:val="18"/>
          <w:szCs w:val="18"/>
          <w:color w:val="auto"/>
        </w:rPr>
        <w:t>. Nothing contained in this Agreement shall be deemed or construed as an admission of wrongdoing or liability on the part of the Company, any other member of the Company Group or any of the Released Parties.</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7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w:t>
      </w:r>
      <w:r>
        <w:rPr>
          <w:rFonts w:ascii="Times New Roman" w:cs="Times New Roman" w:eastAsia="Times New Roman" w:hAnsi="Times New Roman"/>
          <w:sz w:val="18"/>
          <w:szCs w:val="18"/>
          <w:color w:val="auto"/>
        </w:rPr>
        <w:t>. If Executive initiates or participates in any legal actions in contravention of his obligations under this Agreement, or if Executive otherwise fails to abide by any of the terms of this Agreement, including, but not limited to, Section 8 or 9 hereof, the Company and each of the member of the Company Group may reclaim any amounts paid under this Agreement, without waiving the release granted herein, and terminate any benefit or payments that are due under this Agreement, in addition to any other remedies that may be available to the Company at applicable law.</w:t>
      </w:r>
    </w:p>
    <w:p>
      <w:pPr>
        <w:sectPr>
          <w:pgSz w:w="11900" w:h="16838" w:orient="portrait"/>
          <w:cols w:equalWidth="0" w:num="1">
            <w:col w:w="11020"/>
          </w:cols>
          <w:pgMar w:left="440" w:top="266"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704" w:hanging="264"/>
        <w:spacing w:after="0"/>
        <w:tabs>
          <w:tab w:leader="none" w:pos="7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DEFENSE OF TRADE SECRETS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36"/>
        <w:spacing w:after="0" w:line="261"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at all times protect and maintain the secrecy of the Company’s trade secrets and confidential information, including (i) the financial, operational, strategic and contractual information of the Company Group and its customers, agents, BCOs and third-party carriers,</w:t>
      </w:r>
    </w:p>
    <w:p>
      <w:pPr>
        <w:jc w:val="both"/>
        <w:ind w:left="4" w:right="80" w:hanging="4"/>
        <w:spacing w:after="0" w:line="255"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agent, BCO and carrier lists, and (iii) information technology and information systems plans, strategies, formulas, patterns, compilations, programs, devices, methods, techniques, and processes, that derive independent economic value, actual or potential, from not being generally known to, and not being readily ascertainable by proper means by, other persons who can obtain economic value from disclosure.</w:t>
      </w:r>
    </w:p>
    <w:p>
      <w:pPr>
        <w:spacing w:after="0" w:line="185"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92" w:lineRule="exact"/>
        <w:rPr>
          <w:sz w:val="20"/>
          <w:szCs w:val="20"/>
          <w:color w:val="auto"/>
        </w:rPr>
      </w:pPr>
    </w:p>
    <w:p>
      <w:pPr>
        <w:ind w:left="4" w:right="40" w:firstLine="436"/>
        <w:spacing w:after="0" w:line="281" w:lineRule="auto"/>
        <w:tabs>
          <w:tab w:leader="none" w:pos="7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CLAUSE</w:t>
      </w:r>
      <w:r>
        <w:rPr>
          <w:rFonts w:ascii="Times New Roman" w:cs="Times New Roman" w:eastAsia="Times New Roman" w:hAnsi="Times New Roman"/>
          <w:sz w:val="17"/>
          <w:szCs w:val="17"/>
          <w:color w:val="auto"/>
        </w:rPr>
        <w:t>. Should any provision or part of this Agreement be found to be invalid or unenforceable, only that particular provision or part so found and not the entire Agreement shall be inoperative. If the Release contained herein is declared illegal, invalid or unenforceable, Executive agrees that the severance payable under Section 2 shall be credited against any damages to which he may be entitled from the Company or any other member of the Company Group, and treated as part of the consideration for any subsequent release that shall be executed between the Parties.</w:t>
      </w:r>
    </w:p>
    <w:p>
      <w:pPr>
        <w:spacing w:after="0" w:line="164" w:lineRule="exact"/>
        <w:rPr>
          <w:rFonts w:ascii="Times New Roman" w:cs="Times New Roman" w:eastAsia="Times New Roman" w:hAnsi="Times New Roman"/>
          <w:sz w:val="17"/>
          <w:szCs w:val="17"/>
          <w:color w:val="auto"/>
        </w:rPr>
      </w:pPr>
    </w:p>
    <w:p>
      <w:pPr>
        <w:ind w:left="4" w:right="580" w:firstLine="436"/>
        <w:spacing w:after="0" w:line="282" w:lineRule="auto"/>
        <w:tabs>
          <w:tab w:leader="none" w:pos="7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w:t>
      </w:r>
      <w:r>
        <w:rPr>
          <w:rFonts w:ascii="Times New Roman" w:cs="Times New Roman" w:eastAsia="Times New Roman" w:hAnsi="Times New Roman"/>
          <w:sz w:val="18"/>
          <w:szCs w:val="18"/>
          <w:color w:val="auto"/>
        </w:rPr>
        <w:t>. Executive acknowledges that this document may be used as evidence in any proceeding relating to his employment or the termination thereof. Executive waives all objections as to its form.</w:t>
      </w:r>
    </w:p>
    <w:p>
      <w:pPr>
        <w:spacing w:after="0" w:line="161"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COUNSEL</w:t>
      </w:r>
      <w:r>
        <w:rPr>
          <w:rFonts w:ascii="Times New Roman" w:cs="Times New Roman" w:eastAsia="Times New Roman" w:hAnsi="Times New Roman"/>
          <w:sz w:val="18"/>
          <w:szCs w:val="18"/>
          <w:color w:val="auto"/>
        </w:rPr>
        <w:t>. The Company advises Executive to consult with an attorney prior to execution of this Agreement. Executive understands that it is in his best interest to have this document reviewed by an attorney of his own choosing and at his own expense. Executive hereby acknowledges that he has been afforded a period of at least twenty-one days during which to consider this Agreement and to have this Agreement reviewed by his attorney. Executive understands that he may execute this Agreement prior to the expiration of such period, in which case he shall waive his right to utilize the full twenty-one day period to consider this Agreement. If Executive does not</w:t>
      </w:r>
    </w:p>
    <w:p>
      <w:pPr>
        <w:sectPr>
          <w:pgSz w:w="11900" w:h="16838" w:orient="portrait"/>
          <w:cols w:equalWidth="0" w:num="1">
            <w:col w:w="11024"/>
          </w:cols>
          <w:pgMar w:left="436" w:top="266" w:right="439" w:bottom="1440" w:gutter="0" w:footer="0" w:header="0"/>
        </w:sectPr>
      </w:pPr>
    </w:p>
    <w:bookmarkStart w:id="42" w:name="page43"/>
    <w:bookmarkEnd w:id="42"/>
    <w:p>
      <w:pPr>
        <w:ind w:left="964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accept this Agreement by executing this Agreement on or before 5 P.M. on the first business day following the twenty-first day following his Termination Date, Executive agrees and understands that he will forego the right to receive the severance benefits otherwise available to him under the Employment Agreement, which are contingent upon the execution, delivery and non-revocation of the release of Claims contained herein.</w:t>
      </w:r>
    </w:p>
    <w:p>
      <w:pPr>
        <w:spacing w:after="0" w:line="176" w:lineRule="exact"/>
        <w:rPr>
          <w:sz w:val="20"/>
          <w:szCs w:val="20"/>
          <w:color w:val="auto"/>
        </w:rPr>
      </w:pPr>
    </w:p>
    <w:p>
      <w:pPr>
        <w:ind w:right="60" w:firstLine="436"/>
        <w:spacing w:after="0" w:line="261"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WILL</w:t>
      </w:r>
      <w:r>
        <w:rPr>
          <w:rFonts w:ascii="Times New Roman" w:cs="Times New Roman" w:eastAsia="Times New Roman" w:hAnsi="Times New Roman"/>
          <w:sz w:val="18"/>
          <w:szCs w:val="18"/>
          <w:color w:val="auto"/>
        </w:rPr>
        <w:t>. Executive is entering into this Agreement of his own free will. Executive attests that no member of the Company Group nor any other Released Party has exerted any undue pressure or influence upon him. Executive has had reasonable time to determine whether entering into this Agreement is in his best interest. Executive understands and hereby acknowledges that if he requests additional time to review the provisions of this Agreement, a reasonable extension of time will be granted.</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r>
        <w:rPr>
          <w:rFonts w:ascii="Times New Roman" w:cs="Times New Roman" w:eastAsia="Times New Roman" w:hAnsi="Times New Roman"/>
          <w:sz w:val="18"/>
          <w:szCs w:val="18"/>
          <w:color w:val="auto"/>
        </w:rPr>
        <w:t>. This Agreement may be revoked by Executive within seven days after the date on which he signs this Agreement. This Agreement is not binding or enforceable until such seven day period has expired. Any revocation must be made in a signed letter executed by Executive and received by the Company at the following address no later than 5:00 p.m. Florida time on the seventh day after Executive has executed this Agreement: 13410 Sutton Park Drive, South, Jacksonville, FL 32224, Attn: General Counsel. If Executive revokes this Agreement, this Agreement will not be effective or enforceable and Executive will not be entitled to receive the severance benefits described in Section 2 of this Agreement and the commitment of the Company set forth in Section 9(b).</w:t>
      </w:r>
    </w:p>
    <w:p>
      <w:pPr>
        <w:spacing w:after="0" w:line="187"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the laws of the State of Florida, applicable to contracts made and entirely to be performed therein.</w:t>
      </w:r>
    </w:p>
    <w:p>
      <w:pPr>
        <w:spacing w:after="0" w:line="161" w:lineRule="exact"/>
        <w:rPr>
          <w:rFonts w:ascii="Times New Roman" w:cs="Times New Roman" w:eastAsia="Times New Roman" w:hAnsi="Times New Roman"/>
          <w:sz w:val="18"/>
          <w:szCs w:val="18"/>
          <w:color w:val="auto"/>
        </w:rPr>
      </w:pPr>
    </w:p>
    <w:p>
      <w:pPr>
        <w:ind w:right="260" w:firstLine="436"/>
        <w:spacing w:after="0" w:line="312" w:lineRule="auto"/>
        <w:tabs>
          <w:tab w:leader="none" w:pos="7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No amendment, modification, or alteration of the terms and provisions of this Agreement shall be binding and enforceable unless the same shall be in writing, wherein specific reference is made to this Agreement, and such writing is duly executed by the Parties.</w:t>
      </w:r>
    </w:p>
    <w:p>
      <w:pPr>
        <w:spacing w:after="0" w:line="139" w:lineRule="exact"/>
        <w:rPr>
          <w:rFonts w:ascii="Times New Roman" w:cs="Times New Roman" w:eastAsia="Times New Roman" w:hAnsi="Times New Roman"/>
          <w:sz w:val="17"/>
          <w:szCs w:val="17"/>
          <w:color w:val="auto"/>
        </w:rPr>
      </w:pPr>
    </w:p>
    <w:p>
      <w:pPr>
        <w:ind w:right="200" w:firstLine="436"/>
        <w:spacing w:after="0" w:line="266"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made to Executive in accordance with the terms of the Employment Agreement and recognized under this Release, including the severance benefit payable in accordance herewith, shall be subject to reduction for all applicable federal, employment and other taxes that are required to be withheld therefrom in accordance with applicable law.</w:t>
      </w:r>
    </w:p>
    <w:p>
      <w:pPr>
        <w:sectPr>
          <w:pgSz w:w="11900" w:h="16838" w:orient="portrait"/>
          <w:cols w:equalWidth="0" w:num="1">
            <w:col w:w="11020"/>
          </w:cols>
          <w:pgMar w:left="440" w:top="266"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right="120" w:firstLine="436"/>
        <w:spacing w:after="0" w:line="282"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of the provisions of this Agreement shall be deemed to or shall constitute a waiver of any other provision hereof. No delay on the part of any party hereto in exercising any right, power, or privilege hereunder shall operate as a waiver thereof.</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THIRD-PARTY BENEFICIARIES</w:t>
      </w:r>
      <w:r>
        <w:rPr>
          <w:rFonts w:ascii="Times New Roman" w:cs="Times New Roman" w:eastAsia="Times New Roman" w:hAnsi="Times New Roman"/>
          <w:sz w:val="18"/>
          <w:szCs w:val="18"/>
          <w:color w:val="auto"/>
        </w:rPr>
        <w:t>. This Agreement shall be binding upon the Parties hereto and their respective successors, transferees, and assigns. This Agreement shall also inure to the benefit of all the Released Parties and their respective heirs, administrators, representatives, executors, successors and assigns.</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FEDERICO L. PENSOTTI</w:t>
      </w:r>
    </w:p>
    <w:p>
      <w:pPr>
        <w:spacing w:after="0" w:line="225"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July 1, 2022</w:t>
      </w:r>
      <w:r>
        <w:rPr>
          <w:sz w:val="20"/>
          <w:szCs w:val="20"/>
          <w:color w:val="auto"/>
        </w:rPr>
        <w:tab/>
      </w:r>
      <w:r>
        <w:rPr>
          <w:rFonts w:ascii="Times New Roman" w:cs="Times New Roman" w:eastAsia="Times New Roman" w:hAnsi="Times New Roman"/>
          <w:sz w:val="18"/>
          <w:szCs w:val="18"/>
          <w:color w:val="auto"/>
        </w:rPr>
        <w:t>/s/ Federico L. Pensotti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LANDSTAR SYSTEM HOLDINGS, INC.</w:t>
      </w:r>
    </w:p>
    <w:p>
      <w:pPr>
        <w:spacing w:after="0" w:line="225"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July 1, 2022</w:t>
      </w:r>
      <w:r>
        <w:rPr>
          <w:sz w:val="20"/>
          <w:szCs w:val="20"/>
          <w:color w:val="auto"/>
        </w:rPr>
        <w:tab/>
      </w:r>
      <w:r>
        <w:rPr>
          <w:rFonts w:ascii="Times New Roman" w:cs="Times New Roman" w:eastAsia="Times New Roman" w:hAnsi="Times New Roman"/>
          <w:sz w:val="18"/>
          <w:szCs w:val="18"/>
          <w:color w:val="auto"/>
        </w:rPr>
        <w:t>/s/ Michael K. Kneller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Michael K. Kneller</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Vice President, General Counsel &amp; Secretary</w:t>
      </w:r>
    </w:p>
    <w:p>
      <w:pPr>
        <w:sectPr>
          <w:pgSz w:w="11900" w:h="16838" w:orient="portrait"/>
          <w:cols w:equalWidth="0" w:num="1">
            <w:col w:w="11020"/>
          </w:cols>
          <w:pgMar w:left="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B. Gattoni, certify that:</w:t>
      </w:r>
    </w:p>
    <w:p>
      <w:pPr>
        <w:spacing w:after="0" w:line="131" w:lineRule="exact"/>
        <w:rPr>
          <w:sz w:val="20"/>
          <w:szCs w:val="20"/>
          <w:color w:val="auto"/>
        </w:rPr>
      </w:pPr>
    </w:p>
    <w:p>
      <w:pPr>
        <w:ind w:left="224" w:hanging="224"/>
        <w:spacing w:after="0"/>
        <w:tabs>
          <w:tab w:leader="none" w:pos="2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120" w:hanging="4"/>
        <w:spacing w:after="0" w:line="266" w:lineRule="auto"/>
        <w:tabs>
          <w:tab w:leader="none" w:pos="1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 w:right="80" w:hanging="4"/>
        <w:spacing w:after="0" w:line="282" w:lineRule="auto"/>
        <w:tabs>
          <w:tab w:leader="none" w:pos="1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P. Todd, certify that:</w:t>
      </w:r>
    </w:p>
    <w:p>
      <w:pPr>
        <w:spacing w:after="0" w:line="131" w:lineRule="exact"/>
        <w:rPr>
          <w:sz w:val="20"/>
          <w:szCs w:val="20"/>
          <w:color w:val="auto"/>
        </w:rPr>
      </w:pPr>
    </w:p>
    <w:p>
      <w:pPr>
        <w:ind w:left="224" w:hanging="224"/>
        <w:spacing w:after="0"/>
        <w:tabs>
          <w:tab w:leader="none" w:pos="2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120" w:hanging="4"/>
        <w:spacing w:after="0" w:line="266" w:lineRule="auto"/>
        <w:tabs>
          <w:tab w:leader="none" w:pos="1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 w:right="80" w:hanging="4"/>
        <w:spacing w:after="0" w:line="282" w:lineRule="auto"/>
        <w:tabs>
          <w:tab w:leader="none" w:pos="1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24"/>
          </w:cols>
          <w:pgMar w:left="436" w:top="121"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September 24, 2022, as filed with the Securities and Exchange Commission on the date hereof (the “Report”), I, James B. Gattoni, President and Chief Executive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September 24, 2022, as filed with the Securities and Exchange Commission on the date hereof (the “Report”), I, James P. Todd, Vice President and Chief Financial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lowerRoman"/>
      <w:start w:val="3"/>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0"/>
    </w:lvl>
  </w:abstractNum>
  <w:abstractNum w:abstractNumId="18">
    <w:nsid w:val="6CEAF087"/>
    <w:multiLevelType w:val="hybridMultilevel"/>
    <w:lvl w:ilvl="0">
      <w:lvlJc w:val="left"/>
      <w:lvlText w:val="(%1)"/>
      <w:numFmt w:val="decimal"/>
      <w:start w:val="31"/>
    </w:lvl>
  </w:abstractNum>
  <w:abstractNum w:abstractNumId="19">
    <w:nsid w:val="22221A70"/>
    <w:multiLevelType w:val="hybridMultilevel"/>
    <w:lvl w:ilvl="0">
      <w:lvlJc w:val="left"/>
      <w:lvlText w:val="(%1)"/>
      <w:numFmt w:val="decimal"/>
      <w:start w:val="32"/>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decimal"/>
      <w:start w:val="6"/>
    </w:lvl>
  </w:abstractNum>
  <w:abstractNum w:abstractNumId="26">
    <w:nsid w:val="5072367"/>
    <w:multiLevelType w:val="hybridMultilevel"/>
    <w:lvl w:ilvl="0">
      <w:lvlJc w:val="left"/>
      <w:lvlText w:val="%1."/>
      <w:numFmt w:val="decimal"/>
      <w:start w:val="9"/>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10"/>
    </w:lvl>
  </w:abstractNum>
  <w:abstractNum w:abstractNumId="29">
    <w:nsid w:val="7724C67E"/>
    <w:multiLevelType w:val="hybridMultilevel"/>
    <w:lvl w:ilvl="0">
      <w:lvlJc w:val="left"/>
      <w:lvlText w:val="%1."/>
      <w:numFmt w:val="decimal"/>
      <w:start w:val="12"/>
    </w:lvl>
  </w:abstractNum>
  <w:abstractNum w:abstractNumId="30">
    <w:nsid w:val="5C482A97"/>
    <w:multiLevelType w:val="hybridMultilevel"/>
    <w:lvl w:ilvl="0">
      <w:lvlJc w:val="left"/>
      <w:lvlText w:val="%1"/>
      <w:numFmt w:val="lowerLetter"/>
      <w:start w:val="1"/>
    </w:lvl>
    <w:lvl w:ilvl="1">
      <w:lvlJc w:val="left"/>
      <w:lvlText w:val="(%2)"/>
      <w:numFmt w:val="lowerLetter"/>
      <w:start w:val="1"/>
    </w:lvl>
  </w:abstractNum>
  <w:abstractNum w:abstractNumId="31">
    <w:nsid w:val="2463B9EA"/>
    <w:multiLevelType w:val="hybridMultilevel"/>
    <w:lvl w:ilvl="0">
      <w:lvlJc w:val="left"/>
      <w:lvlText w:val="(%1)"/>
      <w:numFmt w:val="lowerLetter"/>
      <w:start w:val="35"/>
    </w:lvl>
    <w:lvl w:ilvl="1">
      <w:lvlJc w:val="left"/>
      <w:lvlText w:val="(%2)"/>
      <w:numFmt w:val="lowerLetter"/>
      <w:start w:val="2"/>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decimal"/>
      <w:start w:val="16"/>
    </w:lvl>
  </w:abstractNum>
  <w:abstractNum w:abstractNumId="34">
    <w:nsid w:val="2D517796"/>
    <w:multiLevelType w:val="hybridMultilevel"/>
    <w:lvl w:ilvl="0">
      <w:lvlJc w:val="left"/>
      <w:lvlText w:val="%1."/>
      <w:numFmt w:val="decimal"/>
      <w:start w:val="2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2" Type="http://schemas.openxmlformats.org/officeDocument/2006/relationships/hyperlink" Target="http://www.sec.gov/Archives/edgar/data/853816/000119312522087519/d254247ddef14a.htm" TargetMode="External"/><Relationship Id="rId53" Type="http://schemas.openxmlformats.org/officeDocument/2006/relationships/hyperlink" Target="http://www.sec.gov/Archives/edgar/data/853816/000119312522190069/d3444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2022-10-28T10:23:35Z</dcterms:created>
  <dcterms:modified xsi:type="dcterms:W3CDTF">2022-10-28T10:23:35Z</dcterms:modified>
</cp:coreProperties>
</file>