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111760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600" w:right="100" w:hanging="424"/>
        <w:spacing w:after="0" w:line="237" w:lineRule="auto"/>
        <w:tabs>
          <w:tab w:leader="none" w:pos="6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25, 2022</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600" w:right="80" w:hanging="424"/>
        <w:spacing w:after="0" w:line="262" w:lineRule="auto"/>
        <w:tabs>
          <w:tab w:leader="none" w:pos="6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 to _____________________</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0-21238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1571625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3206115</wp:posOffset>
            </wp:positionH>
            <wp:positionV relativeFrom="paragraph">
              <wp:posOffset>173990</wp:posOffset>
            </wp:positionV>
            <wp:extent cx="1062990" cy="1174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1174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LANDSTAR SYSTEM,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236220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200"/>
          </w:cols>
          <w:pgMar w:left="260" w:top="226" w:right="439" w:bottom="12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06-1313069</w:t>
      </w:r>
    </w:p>
    <w:p>
      <w:pPr>
        <w:spacing w:after="0" w:line="12" w:lineRule="exact"/>
        <w:rPr>
          <w:sz w:val="24"/>
          <w:szCs w:val="24"/>
          <w:color w:val="auto"/>
        </w:rPr>
      </w:pPr>
    </w:p>
    <w:p>
      <w:pPr>
        <w:sectPr>
          <w:pgSz w:w="11900" w:h="16838" w:orient="portrait"/>
          <w:cols w:equalWidth="0" w:num="2">
            <w:col w:w="7360" w:space="720"/>
            <w:col w:w="3120"/>
          </w:cols>
          <w:pgMar w:left="260" w:top="226" w:right="439" w:bottom="125" w:gutter="0" w:footer="0" w:header="0"/>
          <w:type w:val="continuous"/>
        </w:sectPr>
      </w:pPr>
    </w:p>
    <w:p>
      <w:pPr>
        <w:ind w:left="20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20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240" w:space="720"/>
            <w:col w:w="3240"/>
          </w:cols>
          <w:pgMar w:left="260" w:top="226" w:right="439" w:bottom="125" w:gutter="0" w:footer="0" w:header="0"/>
          <w:type w:val="continuous"/>
        </w:sectPr>
      </w:pP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13410 Sutton Park Drive South, Jacksonville, Florida</w:t>
      </w:r>
    </w:p>
    <w:p>
      <w:pPr>
        <w:spacing w:after="0" w:line="3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32224</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(904) 398-9400</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ectPr>
          <w:pgSz w:w="11900" w:h="16838" w:orient="portrait"/>
          <w:cols w:equalWidth="0" w:num="1">
            <w:col w:w="11200"/>
          </w:cols>
          <w:pgMar w:left="260" w:top="226" w:right="439" w:bottom="125" w:gutter="0" w:footer="0" w:header="0"/>
          <w:type w:val="continuous"/>
        </w:sectPr>
      </w:pPr>
    </w:p>
    <w:p>
      <w:pPr>
        <w:spacing w:after="0" w:line="18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227965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0" w:lineRule="exact"/>
        <w:rPr>
          <w:sz w:val="24"/>
          <w:szCs w:val="24"/>
          <w:color w:val="auto"/>
        </w:rPr>
      </w:pPr>
    </w:p>
    <w:tbl>
      <w:tblPr>
        <w:tblLayout w:type="fixed"/>
        <w:tblInd w:w="180" w:type="dxa"/>
        <w:tblCellMar>
          <w:top w:w="0" w:type="dxa"/>
          <w:left w:w="0" w:type="dxa"/>
          <w:bottom w:w="0" w:type="dxa"/>
          <w:right w:w="0" w:type="dxa"/>
        </w:tblCellMar>
      </w:tblPr>
      <w:tr>
        <w:trPr>
          <w:trHeight w:val="187"/>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LSTR</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w:t>
            </w:r>
          </w:p>
        </w:tc>
      </w:tr>
    </w:tbl>
    <w:p>
      <w:pPr>
        <w:spacing w:after="0" w:line="175"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left="180" w:right="280"/>
        <w:spacing w:after="0" w:line="260" w:lineRule="auto"/>
        <w:rPr>
          <w:sz w:val="20"/>
          <w:szCs w:val="20"/>
          <w:color w:val="auto"/>
        </w:rPr>
      </w:pPr>
      <w:r>
        <w:rPr>
          <w:rFonts w:ascii="Times New Roman" w:cs="Times New Roman" w:eastAsia="Times New Roman" w:hAnsi="Times New Roman"/>
          <w:sz w:val="18"/>
          <w:szCs w:val="18"/>
          <w:color w:val="auto"/>
        </w:rPr>
        <w:t>1934 during the preceding 12 months (or for such shorter period that the registrant was required to file such reports), and (2) has been subject to such filing requirements for the past 90 days:</w:t>
      </w:r>
    </w:p>
    <w:p>
      <w:pPr>
        <w:spacing w:after="0" w:line="153" w:lineRule="exact"/>
        <w:rPr>
          <w:sz w:val="24"/>
          <w:szCs w:val="24"/>
          <w:color w:val="auto"/>
        </w:rPr>
      </w:pPr>
    </w:p>
    <w:p>
      <w:pPr>
        <w:jc w:val="center"/>
        <w:ind w:right="-159"/>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200"/>
          </w:cols>
          <w:pgMar w:left="260" w:top="226" w:right="439" w:bottom="125" w:gutter="0" w:footer="0" w:header="0"/>
          <w:type w:val="continuous"/>
        </w:sectPr>
      </w:pPr>
    </w:p>
    <w:bookmarkStart w:id="1" w:name="page2"/>
    <w:bookmarkEnd w:id="1"/>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47" w:lineRule="exact"/>
        <w:rPr>
          <w:sz w:val="20"/>
          <w:szCs w:val="20"/>
          <w:color w:val="auto"/>
        </w:rPr>
      </w:pPr>
    </w:p>
    <w:p>
      <w:pPr>
        <w:jc w:val="center"/>
        <w:ind w:right="-19"/>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0"/>
          <w:szCs w:val="20"/>
          <w:color w:val="auto"/>
        </w:rPr>
      </w:pPr>
    </w:p>
    <w:p>
      <w:pPr>
        <w:ind w:right="12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440"/>
        <w:spacing w:after="0" w:line="207" w:lineRule="exact"/>
        <w:tabs>
          <w:tab w:leader="none" w:pos="8760" w:val="left"/>
          <w:tab w:leader="none" w:pos="94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number of shares of the registrant’s common stock, par value $0.01 per share, outstanding as of the close of business on July 18, 2022 was 36,427,385.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45720</wp:posOffset>
            </wp:positionV>
            <wp:extent cx="699516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ectPr>
          <w:pgSz w:w="11900" w:h="16838" w:orient="portrait"/>
          <w:cols w:equalWidth="0" w:num="1">
            <w:col w:w="10980"/>
          </w:cols>
          <w:pgMar w:left="440" w:top="121"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3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8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80" w:type="dxa"/>
            <w:vAlign w:val="bottom"/>
            <w:gridSpan w:val="7"/>
          </w:tcPr>
          <w:p>
            <w:pPr>
              <w:jc w:val="center"/>
              <w:ind w:right="4540"/>
              <w:spacing w:after="0"/>
              <w:rPr>
                <w:sz w:val="20"/>
                <w:szCs w:val="20"/>
                <w:color w:val="auto"/>
              </w:rPr>
            </w:pPr>
            <w:r>
              <w:rPr>
                <w:rFonts w:ascii="Times New Roman" w:cs="Times New Roman" w:eastAsia="Times New Roman" w:hAnsi="Times New Roman"/>
                <w:sz w:val="18"/>
                <w:szCs w:val="18"/>
                <w:color w:val="auto"/>
                <w:w w:val="97"/>
              </w:rPr>
              <w:t>Index</w:t>
            </w:r>
          </w:p>
        </w:tc>
        <w:tc>
          <w:tcPr>
            <w:tcW w:w="6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02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0000EE"/>
              </w:rPr>
              <w:t>Financial Information</w:t>
            </w:r>
          </w:p>
        </w:tc>
        <w:tc>
          <w:tcPr>
            <w:tcW w:w="68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2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color w:val="0000EE"/>
              </w:rPr>
              <w:t>Financial Statements (unaudited)</w:t>
            </w:r>
          </w:p>
        </w:tc>
        <w:tc>
          <w:tcPr>
            <w:tcW w:w="68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2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Consolidated Balance Sheets as of June 25, 2022 and December 25, 2021</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Page 4</w:t>
            </w:r>
          </w:p>
        </w:tc>
      </w:tr>
      <w:tr>
        <w:trPr>
          <w:trHeight w:val="20"/>
        </w:trPr>
        <w:tc>
          <w:tcPr>
            <w:tcW w:w="12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83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Consolidated Statements of Income for the Twenty Six and Thirteen Weeks Ended June 25, 2022 and June 26, 2021</w:t>
            </w:r>
          </w:p>
        </w:tc>
        <w:tc>
          <w:tcPr>
            <w:tcW w:w="1920" w:type="dxa"/>
            <w:vAlign w:val="bottom"/>
            <w:gridSpan w:val="3"/>
          </w:tcPr>
          <w:p>
            <w:pPr>
              <w:spacing w:after="0"/>
              <w:rPr>
                <w:sz w:val="24"/>
                <w:szCs w:val="2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Page 5</w:t>
            </w:r>
          </w:p>
        </w:tc>
      </w:tr>
      <w:tr>
        <w:trPr>
          <w:trHeight w:val="304"/>
        </w:trPr>
        <w:tc>
          <w:tcPr>
            <w:tcW w:w="120" w:type="dxa"/>
            <w:vAlign w:val="bottom"/>
          </w:tcPr>
          <w:p>
            <w:pPr>
              <w:spacing w:after="0"/>
              <w:rPr>
                <w:sz w:val="24"/>
                <w:szCs w:val="24"/>
                <w:color w:val="auto"/>
              </w:rPr>
            </w:pPr>
          </w:p>
        </w:tc>
        <w:tc>
          <w:tcPr>
            <w:tcW w:w="102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for the Twenty Six and Thirteen Weeks Ended June 25, 2022 and June 26, 2021</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Page 6</w:t>
            </w:r>
          </w:p>
        </w:tc>
      </w:tr>
      <w:tr>
        <w:trPr>
          <w:trHeight w:val="304"/>
        </w:trPr>
        <w:tc>
          <w:tcPr>
            <w:tcW w:w="120" w:type="dxa"/>
            <w:vAlign w:val="bottom"/>
          </w:tcPr>
          <w:p>
            <w:pPr>
              <w:spacing w:after="0"/>
              <w:rPr>
                <w:sz w:val="24"/>
                <w:szCs w:val="24"/>
                <w:color w:val="auto"/>
              </w:rPr>
            </w:pPr>
          </w:p>
        </w:tc>
        <w:tc>
          <w:tcPr>
            <w:tcW w:w="768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Twenty Six Weeks Ended June 25, 2022 and June 26, 2021</w:t>
            </w:r>
          </w:p>
        </w:tc>
        <w:tc>
          <w:tcPr>
            <w:tcW w:w="1820" w:type="dxa"/>
            <w:vAlign w:val="bottom"/>
            <w:tcBorders>
              <w:top w:val="single" w:sz="8" w:color="0000EE"/>
            </w:tcBorders>
            <w:gridSpan w:val="2"/>
          </w:tcPr>
          <w:p>
            <w:pPr>
              <w:spacing w:after="0"/>
              <w:rPr>
                <w:sz w:val="24"/>
                <w:szCs w:val="24"/>
                <w:color w:val="auto"/>
              </w:rPr>
            </w:pPr>
          </w:p>
        </w:tc>
        <w:tc>
          <w:tcPr>
            <w:tcW w:w="760" w:type="dxa"/>
            <w:vAlign w:val="bottom"/>
            <w:gridSpan w:val="2"/>
          </w:tcPr>
          <w:p>
            <w:pPr>
              <w:spacing w:after="0"/>
              <w:rPr>
                <w:sz w:val="24"/>
                <w:szCs w:val="2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Page 7</w:t>
            </w:r>
          </w:p>
        </w:tc>
      </w:tr>
      <w:tr>
        <w:trPr>
          <w:trHeight w:val="304"/>
        </w:trPr>
        <w:tc>
          <w:tcPr>
            <w:tcW w:w="120" w:type="dxa"/>
            <w:vAlign w:val="bottom"/>
          </w:tcPr>
          <w:p>
            <w:pPr>
              <w:spacing w:after="0"/>
              <w:rPr>
                <w:sz w:val="24"/>
                <w:szCs w:val="24"/>
                <w:color w:val="auto"/>
              </w:rPr>
            </w:pPr>
          </w:p>
        </w:tc>
        <w:tc>
          <w:tcPr>
            <w:tcW w:w="102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Consolidated Statements of Changes in Shareholders’ Equity for the Twenty Six and Thirteen Weeks Ended June 25, 2022 and June 26, 2021</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Page 8</w:t>
            </w:r>
          </w:p>
        </w:tc>
      </w:tr>
      <w:tr>
        <w:trPr>
          <w:trHeight w:val="304"/>
        </w:trPr>
        <w:tc>
          <w:tcPr>
            <w:tcW w:w="120" w:type="dxa"/>
            <w:vAlign w:val="bottom"/>
          </w:tcPr>
          <w:p>
            <w:pPr>
              <w:spacing w:after="0"/>
              <w:rPr>
                <w:sz w:val="24"/>
                <w:szCs w:val="24"/>
                <w:color w:val="auto"/>
              </w:rPr>
            </w:pPr>
          </w:p>
        </w:tc>
        <w:tc>
          <w:tcPr>
            <w:tcW w:w="1016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0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Page 10</w:t>
            </w:r>
          </w:p>
        </w:tc>
      </w:tr>
      <w:tr>
        <w:trPr>
          <w:trHeight w:val="20"/>
        </w:trPr>
        <w:tc>
          <w:tcPr>
            <w:tcW w:w="12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2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color w:val="0000EE"/>
              </w:rPr>
              <w:t>Management’s Discussion and Analysis of Financial Condition and Results of Operations</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Page 19</w:t>
            </w:r>
          </w:p>
        </w:tc>
      </w:tr>
      <w:tr>
        <w:trPr>
          <w:trHeight w:val="20"/>
        </w:trPr>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2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color w:val="0000EE"/>
              </w:rPr>
              <w:t>Quantitative and Qualitative Disclosures About Market Risk</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Page 32</w:t>
            </w:r>
          </w:p>
        </w:tc>
      </w:tr>
      <w:tr>
        <w:trPr>
          <w:trHeight w:val="20"/>
        </w:trPr>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2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color w:val="0000EE"/>
              </w:rPr>
              <w:t>Controls and Procedures</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Page 33</w:t>
            </w:r>
          </w:p>
        </w:tc>
      </w:tr>
      <w:tr>
        <w:trPr>
          <w:trHeight w:val="304"/>
        </w:trPr>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20" w:type="dxa"/>
            <w:vAlign w:val="bottom"/>
            <w:gridSpan w:val="9"/>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 xml:space="preserve">PART II – </w:t>
            </w:r>
            <w:r>
              <w:rPr>
                <w:rFonts w:ascii="Times New Roman" w:cs="Times New Roman" w:eastAsia="Times New Roman" w:hAnsi="Times New Roman"/>
                <w:sz w:val="18"/>
                <w:szCs w:val="18"/>
                <w:color w:val="0000EE"/>
                <w:w w:val="99"/>
              </w:rPr>
              <w:t>Other Information</w:t>
            </w:r>
          </w:p>
        </w:tc>
        <w:tc>
          <w:tcPr>
            <w:tcW w:w="68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52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color w:val="0000EE"/>
              </w:rPr>
              <w:t>Legal Proceedings</w:t>
            </w:r>
          </w:p>
        </w:tc>
        <w:tc>
          <w:tcPr>
            <w:tcW w:w="1300" w:type="dxa"/>
            <w:vAlign w:val="bottom"/>
            <w:tcBorders>
              <w:top w:val="single" w:sz="8" w:color="0000EE"/>
            </w:tcBorders>
          </w:tcPr>
          <w:p>
            <w:pPr>
              <w:spacing w:after="0"/>
              <w:rPr>
                <w:sz w:val="24"/>
                <w:szCs w:val="24"/>
                <w:color w:val="auto"/>
              </w:rPr>
            </w:pPr>
          </w:p>
        </w:tc>
        <w:tc>
          <w:tcPr>
            <w:tcW w:w="3680" w:type="dxa"/>
            <w:vAlign w:val="bottom"/>
            <w:gridSpan w:val="6"/>
          </w:tcPr>
          <w:p>
            <w:pPr>
              <w:spacing w:after="0"/>
              <w:rPr>
                <w:sz w:val="24"/>
                <w:szCs w:val="2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Page 33</w:t>
            </w:r>
          </w:p>
        </w:tc>
      </w:tr>
      <w:tr>
        <w:trPr>
          <w:trHeight w:val="20"/>
        </w:trPr>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34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2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color w:val="0000EE"/>
              </w:rPr>
              <w:t>Risk Factors</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Page 33</w:t>
            </w:r>
          </w:p>
        </w:tc>
      </w:tr>
      <w:tr>
        <w:trPr>
          <w:trHeight w:val="20"/>
        </w:trPr>
        <w:tc>
          <w:tcPr>
            <w:tcW w:w="120" w:type="dxa"/>
            <w:vAlign w:val="bottom"/>
          </w:tcPr>
          <w:p>
            <w:pPr>
              <w:spacing w:after="0" w:line="20" w:lineRule="exact"/>
              <w:rPr>
                <w:sz w:val="1"/>
                <w:szCs w:val="1"/>
                <w:color w:val="auto"/>
              </w:rPr>
            </w:pPr>
          </w:p>
        </w:tc>
        <w:tc>
          <w:tcPr>
            <w:tcW w:w="760" w:type="dxa"/>
            <w:vAlign w:val="bottom"/>
            <w:tcBorders>
              <w:right w:val="single" w:sz="8" w:color="0000EE"/>
            </w:tcBorders>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34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2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color w:val="0000EE"/>
              </w:rPr>
              <w:t>Unregistered Sales of Equity Securities and Use of Proceeds</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Page 35</w:t>
            </w:r>
          </w:p>
        </w:tc>
      </w:tr>
      <w:tr>
        <w:trPr>
          <w:trHeight w:val="20"/>
        </w:trPr>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534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2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color w:val="0000EE"/>
              </w:rPr>
              <w:t>Exhibits</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Page 35</w:t>
            </w:r>
          </w:p>
        </w:tc>
      </w:tr>
      <w:tr>
        <w:trPr>
          <w:trHeight w:val="20"/>
        </w:trPr>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4"/>
              </w:rPr>
              <w:t>Signatures</w:t>
            </w:r>
          </w:p>
        </w:tc>
        <w:tc>
          <w:tcPr>
            <w:tcW w:w="9500" w:type="dxa"/>
            <w:vAlign w:val="bottom"/>
            <w:gridSpan w:val="19"/>
          </w:tcPr>
          <w:p>
            <w:pPr>
              <w:spacing w:after="0"/>
              <w:rPr>
                <w:sz w:val="24"/>
                <w:szCs w:val="2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Page 37</w:t>
            </w:r>
          </w:p>
        </w:tc>
      </w:tr>
      <w:tr>
        <w:trPr>
          <w:trHeight w:val="439"/>
        </w:trPr>
        <w:tc>
          <w:tcPr>
            <w:tcW w:w="120" w:type="dxa"/>
            <w:vAlign w:val="bottom"/>
          </w:tcPr>
          <w:p>
            <w:pPr>
              <w:spacing w:after="0"/>
              <w:rPr>
                <w:sz w:val="24"/>
                <w:szCs w:val="24"/>
                <w:color w:val="auto"/>
              </w:rPr>
            </w:pPr>
          </w:p>
        </w:tc>
        <w:tc>
          <w:tcPr>
            <w:tcW w:w="30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EX – 31.1 Section 302 CEO Certification</w:t>
            </w:r>
          </w:p>
        </w:tc>
        <w:tc>
          <w:tcPr>
            <w:tcW w:w="7240" w:type="dxa"/>
            <w:vAlign w:val="bottom"/>
            <w:gridSpan w:val="10"/>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30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EX – 31.2 Section 302 CFO Certification</w:t>
            </w:r>
          </w:p>
        </w:tc>
        <w:tc>
          <w:tcPr>
            <w:tcW w:w="7260" w:type="dxa"/>
            <w:vAlign w:val="bottom"/>
            <w:gridSpan w:val="11"/>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EX – 32.1 Section 906 CEO Certification</w:t>
            </w:r>
          </w:p>
        </w:tc>
        <w:tc>
          <w:tcPr>
            <w:tcW w:w="724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29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EX – 32.2 Section 906 CFO Certification</w:t>
            </w:r>
          </w:p>
        </w:tc>
        <w:tc>
          <w:tcPr>
            <w:tcW w:w="728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r>
      <w:tr>
        <w:trPr>
          <w:trHeight w:val="385"/>
        </w:trPr>
        <w:tc>
          <w:tcPr>
            <w:tcW w:w="6700" w:type="dxa"/>
            <w:vAlign w:val="bottom"/>
            <w:gridSpan w:val="16"/>
          </w:tcPr>
          <w:p>
            <w:pPr>
              <w:jc w:val="center"/>
              <w:ind w:left="4450"/>
              <w:spacing w:after="0"/>
              <w:rPr>
                <w:sz w:val="20"/>
                <w:szCs w:val="20"/>
                <w:color w:val="auto"/>
              </w:rPr>
            </w:pPr>
            <w:r>
              <w:rPr>
                <w:rFonts w:ascii="Times New Roman" w:cs="Times New Roman" w:eastAsia="Times New Roman" w:hAnsi="Times New Roman"/>
                <w:sz w:val="18"/>
                <w:szCs w:val="18"/>
                <w:color w:val="auto"/>
                <w:w w:val="88"/>
              </w:rPr>
              <w:t>2</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73"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xml:space="preserve">PART I - </w:t>
      </w:r>
      <w:r>
        <w:rPr>
          <w:rFonts w:ascii="Times New Roman" w:cs="Times New Roman" w:eastAsia="Times New Roman" w:hAnsi="Times New Roman"/>
          <w:sz w:val="18"/>
          <w:szCs w:val="18"/>
          <w:color w:val="auto"/>
        </w:rPr>
        <w:t>FINANCIAL INFORMATION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11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interim consolidated financial statements contained herein reflect all adjustments (all of a normal, recurring nature) which, in the opinion of management, are necessary for a fair statement of the financial condition, results of operations, cash flows and changes in shareholders’ equity for the periods presented. They have been prepared in accordance with Rule 10-01 of Regulation S-X and do not include all the information and footnotes required by generally accepted accounting principles for complete financial statements. Operating results for the twenty six weeks ended June 25, 2022 are not necessarily indicative of the results that may be expected for the entire fiscal year ending December 31, 2022.</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These interim consolidated financial statements should be read in conjunction with the audited consolidated financial statements and notes thereto included in the Company’s 2021 Annual Report on Form 10-K.</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320" w:top="482"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LANDSTAR SYSTEM, INC. AND SUBSIDIARY</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25,</w:t>
            </w:r>
          </w:p>
        </w:tc>
        <w:tc>
          <w:tcPr>
            <w:tcW w:w="12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0" w:type="dxa"/>
            <w:vAlign w:val="bottom"/>
          </w:tcPr>
          <w:p>
            <w:pPr>
              <w:spacing w:after="0"/>
              <w:rPr>
                <w:sz w:val="1"/>
                <w:szCs w:val="1"/>
                <w:color w:val="auto"/>
              </w:rPr>
            </w:pPr>
          </w:p>
        </w:tc>
      </w:tr>
      <w:tr>
        <w:trPr>
          <w:trHeight w:val="173"/>
        </w:trPr>
        <w:tc>
          <w:tcPr>
            <w:tcW w:w="8820" w:type="dxa"/>
            <w:vAlign w:val="bottom"/>
            <w:vMerge w:val="restart"/>
          </w:tcPr>
          <w:p>
            <w:pPr>
              <w:ind w:left="4040"/>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78,220</w:t>
            </w:r>
          </w:p>
        </w:tc>
        <w:tc>
          <w:tcPr>
            <w:tcW w:w="1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215,522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41,549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35,778</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accounts receivable, less allowance of $9,940 and $7,074</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1,216,518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1,154,314</w:t>
            </w:r>
          </w:p>
        </w:tc>
        <w:tc>
          <w:tcPr>
            <w:tcW w:w="0" w:type="dxa"/>
            <w:vAlign w:val="bottom"/>
          </w:tcPr>
          <w:p>
            <w:pPr>
              <w:spacing w:after="0"/>
              <w:rPr>
                <w:sz w:val="1"/>
                <w:szCs w:val="1"/>
                <w:color w:val="auto"/>
              </w:rPr>
            </w:pPr>
          </w:p>
        </w:tc>
      </w:tr>
      <w:tr>
        <w:trPr>
          <w:trHeight w:val="198"/>
        </w:trPr>
        <w:tc>
          <w:tcPr>
            <w:tcW w:w="88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Other receivables, including advances to independent contractors, less allowance</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 $9,856 and $8,125</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114,794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101,124</w:t>
            </w:r>
          </w:p>
        </w:tc>
        <w:tc>
          <w:tcPr>
            <w:tcW w:w="0" w:type="dxa"/>
            <w:vAlign w:val="bottom"/>
          </w:tcPr>
          <w:p>
            <w:pPr>
              <w:spacing w:after="0"/>
              <w:rPr>
                <w:sz w:val="1"/>
                <w:szCs w:val="1"/>
                <w:color w:val="auto"/>
              </w:rPr>
            </w:pPr>
          </w:p>
        </w:tc>
      </w:tr>
      <w:tr>
        <w:trPr>
          <w:trHeight w:val="223"/>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16,162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1,505,271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1,522,900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Operating property, less accumulated depreciation</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and amortization of $369,344 and $344,099</w:t>
            </w: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314,191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317,386</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40,977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40,768</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156,628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164,411</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2,017,067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2,045,465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82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overdraft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113,603</w:t>
            </w:r>
          </w:p>
        </w:tc>
        <w:tc>
          <w:tcPr>
            <w:tcW w:w="1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116,478</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670,534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604,130</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36,561</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claims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46,896</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payable</w:t>
            </w:r>
          </w:p>
        </w:tc>
        <w:tc>
          <w:tcPr>
            <w:tcW w:w="10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75,387</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102,956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130,531</w:t>
            </w:r>
          </w:p>
        </w:tc>
        <w:tc>
          <w:tcPr>
            <w:tcW w:w="0" w:type="dxa"/>
            <w:vAlign w:val="bottom"/>
          </w:tcPr>
          <w:p>
            <w:pPr>
              <w:spacing w:after="0"/>
              <w:rPr>
                <w:sz w:val="1"/>
                <w:szCs w:val="1"/>
                <w:color w:val="auto"/>
              </w:rPr>
            </w:pPr>
          </w:p>
        </w:tc>
      </w:tr>
      <w:tr>
        <w:trPr>
          <w:trHeight w:val="230"/>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977,891</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1,009,983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73,999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Insurance claims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53,303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49,509</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and other noncurrent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48,720</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$0.01 par value, authorized 160,000,000 shares, issued 68,376,934 and 68,232,975 shares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252,045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255,148</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2,535,997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2,317,184</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31,946,616 and 30,539,235 shares of common stock in treasury</w:t>
            </w:r>
          </w:p>
        </w:tc>
        <w:tc>
          <w:tcPr>
            <w:tcW w:w="1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7"/>
              </w:rPr>
              <w:t>(1,919,535)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(1,705,601)</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(5,403)</w:t>
            </w:r>
          </w:p>
        </w:tc>
        <w:tc>
          <w:tcPr>
            <w:tcW w:w="0" w:type="dxa"/>
            <w:vAlign w:val="bottom"/>
          </w:tcPr>
          <w:p>
            <w:pPr>
              <w:spacing w:after="0"/>
              <w:rPr>
                <w:sz w:val="1"/>
                <w:szCs w:val="1"/>
                <w:color w:val="auto"/>
              </w:rPr>
            </w:pPr>
          </w:p>
        </w:tc>
      </w:tr>
      <w:tr>
        <w:trPr>
          <w:trHeight w:val="230"/>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856,870</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862,010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2,017,067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2,045,465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LANDSTAR SYSTEM, INC. AND SUBSIDIARY</w:t>
      </w:r>
    </w:p>
    <w:p>
      <w:pPr>
        <w:spacing w:after="0" w:line="2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Twenty Six Weeks Ended</w:t>
            </w:r>
          </w:p>
        </w:tc>
        <w:tc>
          <w:tcPr>
            <w:tcW w:w="100" w:type="dxa"/>
            <w:vAlign w:val="bottom"/>
          </w:tcPr>
          <w:p>
            <w:pPr>
              <w:spacing w:after="0"/>
              <w:rPr>
                <w:sz w:val="15"/>
                <w:szCs w:val="15"/>
                <w:color w:val="auto"/>
              </w:rPr>
            </w:pPr>
          </w:p>
        </w:tc>
        <w:tc>
          <w:tcPr>
            <w:tcW w:w="204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6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June 25,</w:t>
            </w: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12"/>
              <w:spacing w:after="0" w:line="118" w:lineRule="exact"/>
              <w:rPr>
                <w:sz w:val="20"/>
                <w:szCs w:val="20"/>
                <w:color w:val="auto"/>
              </w:rPr>
            </w:pPr>
            <w:r>
              <w:rPr>
                <w:rFonts w:ascii="Times New Roman" w:cs="Times New Roman" w:eastAsia="Times New Roman" w:hAnsi="Times New Roman"/>
                <w:sz w:val="13"/>
                <w:szCs w:val="13"/>
                <w:b w:val="1"/>
                <w:bCs w:val="1"/>
                <w:color w:val="auto"/>
              </w:rPr>
              <w:t>June 26,</w:t>
            </w: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June 25,</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12"/>
              <w:spacing w:after="0" w:line="118" w:lineRule="exact"/>
              <w:rPr>
                <w:sz w:val="20"/>
                <w:szCs w:val="20"/>
                <w:color w:val="auto"/>
              </w:rPr>
            </w:pPr>
            <w:r>
              <w:rPr>
                <w:rFonts w:ascii="Times New Roman" w:cs="Times New Roman" w:eastAsia="Times New Roman" w:hAnsi="Times New Roman"/>
                <w:sz w:val="13"/>
                <w:szCs w:val="13"/>
                <w:b w:val="1"/>
                <w:bCs w:val="1"/>
                <w:color w:val="auto"/>
              </w:rPr>
              <w:t>June 26,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5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3,945,663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2,858,252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1,975,064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Purchased transportation</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3,096,018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2,226,526</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1,545,688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1,228,241</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Commissions to agents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311,634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221,702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161,856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121,693</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costs, net of gains on asset sales/dispositions</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16,545</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8,903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and claims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64,820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45,629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34,052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24,124</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111,680</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99,522</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58,967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54,114</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24,244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12,143</w:t>
            </w:r>
          </w:p>
        </w:tc>
        <w:tc>
          <w:tcPr>
            <w:tcW w:w="0" w:type="dxa"/>
            <w:vAlign w:val="bottom"/>
          </w:tcPr>
          <w:p>
            <w:pPr>
              <w:spacing w:after="0"/>
              <w:rPr>
                <w:sz w:val="1"/>
                <w:szCs w:val="1"/>
                <w:color w:val="auto"/>
              </w:rPr>
            </w:pPr>
          </w:p>
        </w:tc>
      </w:tr>
      <w:tr>
        <w:trPr>
          <w:trHeight w:val="230"/>
        </w:trPr>
        <w:tc>
          <w:tcPr>
            <w:tcW w:w="6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3,633,719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2,634,168</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1,825,232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1,449,218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313,251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225,516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150,418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122,248</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debt expense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311,023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223,507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149,313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121,281</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53,973</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36,758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28,987</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237,394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169,534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112,555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92,294</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diluted shares outstanding</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37,162,000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38,403,000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36,905,000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38,402,000</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Dividends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LANDSTAR SYSTEM, INC. AND SUBSIDIARY</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174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Twenty Six Weeks Ended</w:t>
            </w:r>
          </w:p>
        </w:tc>
        <w:tc>
          <w:tcPr>
            <w:tcW w:w="80" w:type="dxa"/>
            <w:vAlign w:val="bottom"/>
          </w:tcPr>
          <w:p>
            <w:pPr>
              <w:spacing w:after="0"/>
              <w:rPr>
                <w:sz w:val="15"/>
                <w:szCs w:val="15"/>
                <w:color w:val="auto"/>
              </w:rPr>
            </w:pPr>
          </w:p>
        </w:tc>
        <w:tc>
          <w:tcPr>
            <w:tcW w:w="16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7580" w:type="dxa"/>
            <w:vAlign w:val="bottom"/>
          </w:tcPr>
          <w:p>
            <w:pPr>
              <w:spacing w:after="0"/>
              <w:rPr>
                <w:sz w:val="10"/>
                <w:szCs w:val="10"/>
                <w:color w:val="auto"/>
              </w:rPr>
            </w:pPr>
          </w:p>
        </w:tc>
        <w:tc>
          <w:tcPr>
            <w:tcW w:w="820" w:type="dxa"/>
            <w:vAlign w:val="bottom"/>
            <w:tcBorders>
              <w:top w:val="single" w:sz="8" w:color="auto"/>
            </w:tcBorders>
            <w:gridSpan w:val="3"/>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June 25,</w:t>
            </w: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June 26,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top w:val="single" w:sz="8" w:color="auto"/>
            </w:tcBorders>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June 25,</w:t>
            </w:r>
          </w:p>
        </w:tc>
        <w:tc>
          <w:tcPr>
            <w:tcW w:w="6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26,</w:t>
            </w:r>
          </w:p>
        </w:tc>
        <w:tc>
          <w:tcPr>
            <w:tcW w:w="120" w:type="dxa"/>
            <w:vAlign w:val="bottom"/>
          </w:tcPr>
          <w:p>
            <w:pPr>
              <w:spacing w:after="0"/>
              <w:rPr>
                <w:sz w:val="10"/>
                <w:szCs w:val="10"/>
                <w:color w:val="auto"/>
              </w:rPr>
            </w:pPr>
          </w:p>
        </w:tc>
      </w:tr>
      <w:tr>
        <w:trPr>
          <w:trHeight w:val="173"/>
        </w:trPr>
        <w:tc>
          <w:tcPr>
            <w:tcW w:w="7580" w:type="dxa"/>
            <w:vAlign w:val="bottom"/>
          </w:tcPr>
          <w:p>
            <w:pPr>
              <w:spacing w:after="0"/>
              <w:rPr>
                <w:sz w:val="15"/>
                <w:szCs w:val="15"/>
                <w:color w:val="auto"/>
              </w:rPr>
            </w:pPr>
          </w:p>
        </w:tc>
        <w:tc>
          <w:tcPr>
            <w:tcW w:w="7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210"/>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$237,394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$ 169,534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$ 112,555</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$92,294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75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holding losses on available-for-sale investments, net of tax benefit of $2,025, $243,</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$604 and $96</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(7,391)</w:t>
            </w: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(883)</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(2,204)</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gains (losses)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1,030</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(802)</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1,450</w:t>
            </w:r>
          </w:p>
        </w:tc>
      </w:tr>
      <w:tr>
        <w:trPr>
          <w:trHeight w:val="27"/>
        </w:trPr>
        <w:tc>
          <w:tcPr>
            <w:tcW w:w="7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(6,918)</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(3,006)</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1,101</w:t>
            </w: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230,476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$ 169,681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109,549</w:t>
            </w: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93,395</w:t>
            </w:r>
          </w:p>
        </w:tc>
        <w:tc>
          <w:tcPr>
            <w:tcW w:w="12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0139"/>
          </w:cols>
          <w:pgMar w:left="320" w:top="482"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LANDSTAR SYSTEM,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Twenty Six Weeks Ended</w:t>
            </w:r>
          </w:p>
        </w:tc>
      </w:tr>
      <w:tr>
        <w:trPr>
          <w:trHeight w:val="117"/>
        </w:trPr>
        <w:tc>
          <w:tcPr>
            <w:tcW w:w="9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3"/>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June 25,</w:t>
            </w: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June 26,</w:t>
            </w:r>
          </w:p>
        </w:tc>
        <w:tc>
          <w:tcPr>
            <w:tcW w:w="120" w:type="dxa"/>
            <w:vAlign w:val="bottom"/>
          </w:tcPr>
          <w:p>
            <w:pPr>
              <w:spacing w:after="0"/>
              <w:rPr>
                <w:sz w:val="10"/>
                <w:szCs w:val="10"/>
                <w:color w:val="auto"/>
              </w:rPr>
            </w:pPr>
          </w:p>
        </w:tc>
      </w:tr>
      <w:tr>
        <w:trPr>
          <w:trHeight w:val="173"/>
        </w:trPr>
        <w:tc>
          <w:tcPr>
            <w:tcW w:w="9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96"/>
        </w:trPr>
        <w:tc>
          <w:tcPr>
            <w:tcW w:w="9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237,394</w:t>
            </w:r>
          </w:p>
        </w:tc>
        <w:tc>
          <w:tcPr>
            <w:tcW w:w="16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$ 169,534</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28,045</w:t>
            </w:r>
          </w:p>
        </w:tc>
        <w:tc>
          <w:tcPr>
            <w:tcW w:w="16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24,244</w:t>
            </w: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interest charges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Provisions for losses on trade and other accounts receivable</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6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1,393</w:t>
            </w: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Gains on sales/disposals of operating property</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(1,213)</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(766)</w:t>
            </w: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6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6,240</w:t>
            </w: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10,893</w:t>
            </w: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Increase in trade and other accounts receivable</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(82,233)</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(55,236)</w:t>
            </w:r>
          </w:p>
        </w:tc>
      </w:tr>
      <w:tr>
        <w:trPr>
          <w:trHeight w:val="216"/>
        </w:trPr>
        <w:tc>
          <w:tcPr>
            <w:tcW w:w="91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Increase in other assets</w:t>
            </w:r>
          </w:p>
        </w:tc>
        <w:tc>
          <w:tcPr>
            <w:tcW w:w="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(42,742)</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(24,704)</w:t>
            </w:r>
          </w:p>
        </w:tc>
      </w:tr>
      <w:tr>
        <w:trPr>
          <w:trHeight w:val="216"/>
        </w:trPr>
        <w:tc>
          <w:tcPr>
            <w:tcW w:w="91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Increase in accounts payable</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66,404</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101,206</w:t>
            </w:r>
          </w:p>
        </w:tc>
      </w:tr>
      <w:tr>
        <w:trPr>
          <w:trHeight w:val="216"/>
        </w:trPr>
        <w:tc>
          <w:tcPr>
            <w:tcW w:w="91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(Decrease) increase in other liabilities</w:t>
            </w:r>
          </w:p>
        </w:tc>
        <w:tc>
          <w:tcPr>
            <w:tcW w:w="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(25,265)</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7,882</w:t>
            </w:r>
          </w:p>
        </w:tc>
      </w:tr>
      <w:tr>
        <w:trPr>
          <w:trHeight w:val="216"/>
        </w:trPr>
        <w:tc>
          <w:tcPr>
            <w:tcW w:w="91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Increase (decrease) in insurance claims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(103,734)</w:t>
            </w: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209,651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137,176</w:t>
            </w:r>
          </w:p>
        </w:tc>
        <w:tc>
          <w:tcPr>
            <w:tcW w:w="120" w:type="dxa"/>
            <w:vAlign w:val="bottom"/>
          </w:tcPr>
          <w:p>
            <w:pPr>
              <w:spacing w:after="0"/>
              <w:rPr>
                <w:sz w:val="20"/>
                <w:szCs w:val="20"/>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21,918</w:t>
            </w:r>
          </w:p>
        </w:tc>
        <w:tc>
          <w:tcPr>
            <w:tcW w:w="16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17,242</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investments</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(23,883)</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(68,366)</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operating property</w:t>
            </w:r>
          </w:p>
        </w:tc>
        <w:tc>
          <w:tcPr>
            <w:tcW w:w="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(7,467)</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(9,000)</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sales of operating property</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1,438</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non-marketable securities</w:t>
            </w:r>
          </w:p>
        </w:tc>
        <w:tc>
          <w:tcPr>
            <w:tcW w:w="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(4,999)</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(12,073)</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(58,686)</w:t>
            </w:r>
          </w:p>
        </w:tc>
      </w:tr>
      <w:tr>
        <w:trPr>
          <w:trHeight w:val="22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Decrease in cash overdraft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(2,875)</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(4,194)</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(93,968)</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(92,905)</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paid in lieu of shares issued related to stock-based compensation plans</w:t>
            </w:r>
          </w:p>
        </w:tc>
        <w:tc>
          <w:tcPr>
            <w:tcW w:w="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(10,269)</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(2,341)</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(212,632)</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(23,837)</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(19,051)</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(19,143)</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deferred consideration</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(338,739</w:t>
            </w: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(142,511)</w:t>
            </w:r>
          </w:p>
        </w:tc>
        <w:tc>
          <w:tcPr>
            <w:tcW w:w="120" w:type="dxa"/>
            <w:vAlign w:val="bottom"/>
          </w:tcPr>
          <w:p>
            <w:pPr>
              <w:spacing w:after="0"/>
              <w:rPr>
                <w:sz w:val="20"/>
                <w:szCs w:val="20"/>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1,071</w:t>
            </w:r>
          </w:p>
        </w:tc>
      </w:tr>
      <w:tr>
        <w:trPr>
          <w:trHeight w:val="22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(141,351)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(62,950)</w:t>
            </w: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219,571</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249,354</w:t>
            </w:r>
          </w:p>
        </w:tc>
      </w:tr>
      <w:tr>
        <w:trPr>
          <w:trHeight w:val="22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78,220</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$ 186,404</w:t>
            </w:r>
          </w:p>
        </w:tc>
        <w:tc>
          <w:tcPr>
            <w:tcW w:w="12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121"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0139"/>
          </w:cols>
          <w:pgMar w:left="320" w:top="482" w:right="1440"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color w:val="auto"/>
        </w:rPr>
        <w:t>LANDSTAR SYSTEM, INC. AND SUBSIDIARY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Twenty Six and Thirteen Weeks Ended June 25, 2022 and June 26, 2021</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24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100" w:type="dxa"/>
            <w:vAlign w:val="bottom"/>
            <w:gridSpan w:val="5"/>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18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2"/>
            <w:vMerge w:val="continue"/>
          </w:tcPr>
          <w:p>
            <w:pPr>
              <w:spacing w:after="0"/>
              <w:rPr>
                <w:sz w:val="15"/>
                <w:szCs w:val="15"/>
                <w:color w:val="auto"/>
              </w:rPr>
            </w:pPr>
          </w:p>
        </w:tc>
        <w:tc>
          <w:tcPr>
            <w:tcW w:w="2100" w:type="dxa"/>
            <w:vAlign w:val="bottom"/>
            <w:gridSpan w:val="5"/>
            <w:vMerge w:val="continue"/>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94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2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940" w:type="dxa"/>
            <w:vAlign w:val="bottom"/>
            <w:tcBorders>
              <w:top w:val="single" w:sz="8" w:color="auto"/>
            </w:tcBorders>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2"/>
                <w:szCs w:val="12"/>
                <w:color w:val="auto"/>
              </w:rPr>
            </w:pPr>
          </w:p>
        </w:tc>
        <w:tc>
          <w:tcPr>
            <w:tcW w:w="86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25,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68,232,975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682</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$255,148</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$2,317,184</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30,539,235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$(1,705,601)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$ 862,010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124,839</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124,839</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($0.25 per share)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(9,324)</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(9,324)</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693,550</w:t>
            </w:r>
          </w:p>
        </w:tc>
        <w:tc>
          <w:tcPr>
            <w:tcW w:w="116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(109,332)</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(109,332)</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stock-based</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plans</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137,176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(8,913)</w:t>
            </w: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10,033</w:t>
            </w:r>
          </w:p>
        </w:tc>
        <w:tc>
          <w:tcPr>
            <w:tcW w:w="11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(1,216)</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(10,127)</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1,995</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(3,912)</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(3,912)</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26, 2022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68,370,151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684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248,230</w:t>
            </w:r>
          </w:p>
        </w:tc>
        <w:tc>
          <w:tcPr>
            <w:tcW w:w="1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2,432,699</w:t>
            </w:r>
          </w:p>
        </w:tc>
        <w:tc>
          <w:tcPr>
            <w:tcW w:w="1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31,242,818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(1,816,149</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$ 856,149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112,555</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112,555</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Dividends ($0.25 per share)</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(9,257)</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(9,257)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703,211</w:t>
            </w:r>
          </w:p>
        </w:tc>
        <w:tc>
          <w:tcPr>
            <w:tcW w:w="11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(103,300)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(103,300)</w:t>
            </w:r>
          </w:p>
        </w:tc>
        <w:tc>
          <w:tcPr>
            <w:tcW w:w="0" w:type="dxa"/>
            <w:vAlign w:val="bottom"/>
          </w:tcPr>
          <w:p>
            <w:pPr>
              <w:spacing w:after="0"/>
              <w:rPr>
                <w:sz w:val="1"/>
                <w:szCs w:val="1"/>
                <w:color w:val="auto"/>
              </w:rPr>
            </w:pPr>
          </w:p>
        </w:tc>
      </w:tr>
      <w:tr>
        <w:trPr>
          <w:trHeight w:val="198"/>
        </w:trPr>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stock-based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plans</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6,783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587</w:t>
            </w:r>
          </w:p>
        </w:tc>
        <w:tc>
          <w:tcPr>
            <w:tcW w:w="116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3,815</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3,815</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(3,006)</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(3,006)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25, 2022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68,376,934</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684</w:t>
            </w: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252,045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2,535,997</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31,946,616</w:t>
            </w:r>
          </w:p>
        </w:tc>
        <w:tc>
          <w:tcPr>
            <w:tcW w:w="11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(1,919,535)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(12,321)</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$ 856,870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6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20" w:type="dxa"/>
            <w:vAlign w:val="bottom"/>
            <w:gridSpan w:val="4"/>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126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2"/>
            <w:vMerge w:val="continue"/>
          </w:tcPr>
          <w:p>
            <w:pPr>
              <w:spacing w:after="0"/>
              <w:rPr>
                <w:sz w:val="15"/>
                <w:szCs w:val="15"/>
                <w:color w:val="auto"/>
              </w:rPr>
            </w:pPr>
          </w:p>
        </w:tc>
        <w:tc>
          <w:tcPr>
            <w:tcW w:w="202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6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2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tcBorders>
              <w:top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84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26,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68,183,702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682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$228,875</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$ 2,046,238</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29,797,639</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$(1,581,961)</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$ 691,835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77,240</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77,240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($0.21 per share)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(8,067)</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(8,067)</w:t>
            </w:r>
          </w:p>
        </w:tc>
        <w:tc>
          <w:tcPr>
            <w:tcW w:w="0" w:type="dxa"/>
            <w:vAlign w:val="bottom"/>
          </w:tcPr>
          <w:p>
            <w:pPr>
              <w:spacing w:after="0"/>
              <w:rPr>
                <w:sz w:val="1"/>
                <w:szCs w:val="1"/>
                <w:color w:val="auto"/>
              </w:rPr>
            </w:pPr>
          </w:p>
        </w:tc>
      </w:tr>
      <w:tr>
        <w:trPr>
          <w:trHeight w:val="198"/>
        </w:trPr>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stock-based</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plans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28,594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(307)</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6,087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4,029</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4,029</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(954)</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27, 2021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68,212,296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682</w:t>
            </w: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232,597</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$ 2,115,411</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29,803,726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(1,582,818)</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(2,953)</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$ 762,919</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92,294</w:t>
            </w:r>
          </w:p>
        </w:tc>
        <w:tc>
          <w:tcPr>
            <w:tcW w:w="2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($0.21 per share)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(8,068)</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(8,068)</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(23,837)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(23,837)</w:t>
            </w:r>
          </w:p>
        </w:tc>
        <w:tc>
          <w:tcPr>
            <w:tcW w:w="0" w:type="dxa"/>
            <w:vAlign w:val="bottom"/>
          </w:tcPr>
          <w:p>
            <w:pPr>
              <w:spacing w:after="0"/>
              <w:rPr>
                <w:sz w:val="1"/>
                <w:szCs w:val="1"/>
                <w:color w:val="auto"/>
              </w:rPr>
            </w:pPr>
          </w:p>
        </w:tc>
      </w:tr>
      <w:tr>
        <w:trPr>
          <w:trHeight w:val="198"/>
        </w:trPr>
        <w:tc>
          <w:tcPr>
            <w:tcW w:w="3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stock-based</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plans</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17,584</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(1,039)</w:t>
            </w: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6,864</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6,864</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1,101</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26, 2021</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68,229,880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682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238,422</w:t>
            </w: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$ 2,199,637</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29,954,081</w:t>
            </w: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(1,606,716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$ 830,173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0139"/>
          </w:cols>
          <w:pgMar w:left="320" w:top="482" w:right="1440" w:bottom="1440" w:gutter="0" w:footer="0" w:header="0"/>
        </w:sectPr>
      </w:pPr>
    </w:p>
    <w:bookmarkStart w:id="13" w:name="page14"/>
    <w:bookmarkEnd w:id="13"/>
    <w:p>
      <w:pPr>
        <w:jc w:val="center"/>
        <w:ind w:right="-23"/>
        <w:spacing w:after="0"/>
        <w:rPr>
          <w:sz w:val="20"/>
          <w:szCs w:val="20"/>
          <w:color w:val="auto"/>
        </w:rPr>
      </w:pPr>
      <w:r>
        <w:rPr>
          <w:rFonts w:ascii="Times New Roman" w:cs="Times New Roman" w:eastAsia="Times New Roman" w:hAnsi="Times New Roman"/>
          <w:sz w:val="18"/>
          <w:szCs w:val="18"/>
          <w:color w:val="auto"/>
        </w:rPr>
        <w:t>LANDSTAR SYSTEM, INC. AND SUBSIDIARY</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Landstar System, Inc. and its subsidiary, Landstar System Holdings, Inc., and reflect all adjustments (all of a normal, recurring nature) which are, in the opinion of management, necessary for a fair statement of the results for the periods presented. The preparation of the consolidated financial statements requires the use of management’s estimates. Actual results could differ from those estimates. Landstar System, Inc. and its subsidiary are herein referred to as “Landstar” or the “Company.” Significant intercompany accounts have been eliminated in consolidation.</w:t>
      </w:r>
    </w:p>
    <w:p>
      <w:pPr>
        <w:spacing w:after="0" w:line="71"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 – Disaggregation of Revenue</w:t>
      </w:r>
    </w:p>
    <w:p>
      <w:pPr>
        <w:spacing w:after="0" w:line="121"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(i) the percentage of consolidated revenue generated by mode of transportation and (ii) the total amount of truck transportation revenue hauled by BCO Independent Contractors and Truck Brokerage Carriers generated by equipment type during the twenty-six-week and thirteen-week periods ended June 25, 2022 and June 26, 2021 (dollars in thousands):</w:t>
      </w:r>
    </w:p>
    <w:p>
      <w:pPr>
        <w:sectPr>
          <w:pgSz w:w="11900" w:h="16838" w:orient="portrait"/>
          <w:cols w:equalWidth="0" w:num="1">
            <w:col w:w="10984"/>
          </w:cols>
          <w:pgMar w:left="436" w:top="121" w:right="47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Mode</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Truck – BCO Independent Contractors</w:t>
      </w:r>
    </w:p>
    <w:p>
      <w:pPr>
        <w:spacing w:after="0" w:line="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Truck – Truck Brokerage Carriers</w:t>
      </w:r>
    </w:p>
    <w:p>
      <w:pPr>
        <w:spacing w:after="0" w:line="2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Rail intermodal</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Ocean and air cargo carriers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5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Twenty Six Weeks Ended</w:t>
            </w: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1280" w:type="dxa"/>
            <w:vAlign w:val="bottom"/>
            <w:tcBorders>
              <w:top w:val="single" w:sz="8" w:color="auto"/>
            </w:tcBorders>
            <w:gridSpan w:val="2"/>
          </w:tcPr>
          <w:p>
            <w:pPr>
              <w:jc w:val="right"/>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June 25,</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June 26,</w:t>
            </w:r>
          </w:p>
        </w:tc>
        <w:tc>
          <w:tcPr>
            <w:tcW w:w="460" w:type="dxa"/>
            <w:vAlign w:val="bottom"/>
          </w:tcPr>
          <w:p>
            <w:pPr>
              <w:spacing w:after="0"/>
              <w:rPr>
                <w:sz w:val="10"/>
                <w:szCs w:val="10"/>
                <w:color w:val="auto"/>
              </w:rPr>
            </w:pPr>
          </w:p>
        </w:tc>
        <w:tc>
          <w:tcPr>
            <w:tcW w:w="1280" w:type="dxa"/>
            <w:vAlign w:val="bottom"/>
            <w:tcBorders>
              <w:top w:val="single" w:sz="8" w:color="auto"/>
            </w:tcBorders>
            <w:gridSpan w:val="2"/>
          </w:tcPr>
          <w:p>
            <w:pPr>
              <w:jc w:val="right"/>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June 25,</w:t>
            </w: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June 26,</w:t>
            </w:r>
          </w:p>
        </w:tc>
        <w:tc>
          <w:tcPr>
            <w:tcW w:w="160" w:type="dxa"/>
            <w:vAlign w:val="bottom"/>
          </w:tcPr>
          <w:p>
            <w:pPr>
              <w:spacing w:after="0"/>
              <w:rPr>
                <w:sz w:val="10"/>
                <w:szCs w:val="10"/>
                <w:color w:val="auto"/>
              </w:rPr>
            </w:pPr>
          </w:p>
        </w:tc>
      </w:tr>
      <w:tr>
        <w:trPr>
          <w:trHeight w:val="173"/>
        </w:trPr>
        <w:tc>
          <w:tcPr>
            <w:tcW w:w="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5"/>
                <w:szCs w:val="15"/>
                <w:color w:val="auto"/>
              </w:rPr>
            </w:pPr>
          </w:p>
        </w:tc>
        <w:tc>
          <w:tcPr>
            <w:tcW w:w="8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5"/>
                <w:szCs w:val="15"/>
                <w:color w:val="auto"/>
              </w:rPr>
            </w:pPr>
          </w:p>
        </w:tc>
        <w:tc>
          <w:tcPr>
            <w:tcW w:w="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5"/>
                <w:szCs w:val="15"/>
                <w:color w:val="auto"/>
              </w:rPr>
            </w:pPr>
          </w:p>
        </w:tc>
        <w:tc>
          <w:tcPr>
            <w:tcW w:w="6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r>
      <w:tr>
        <w:trPr>
          <w:trHeight w:val="191"/>
        </w:trPr>
        <w:tc>
          <w:tcPr>
            <w:tcW w:w="1280" w:type="dxa"/>
            <w:vAlign w:val="bottom"/>
            <w:gridSpan w:val="2"/>
          </w:tcPr>
          <w:p>
            <w:pPr>
              <w:jc w:val="right"/>
              <w:ind w:right="300"/>
              <w:spacing w:after="0" w:line="191" w:lineRule="exact"/>
              <w:rPr>
                <w:sz w:val="20"/>
                <w:szCs w:val="20"/>
                <w:color w:val="auto"/>
              </w:rPr>
            </w:pPr>
            <w:r>
              <w:rPr>
                <w:rFonts w:ascii="Times New Roman" w:cs="Times New Roman" w:eastAsia="Times New Roman" w:hAnsi="Times New Roman"/>
                <w:sz w:val="18"/>
                <w:szCs w:val="18"/>
                <w:color w:val="auto"/>
              </w:rPr>
              <w:t>36%</w:t>
            </w:r>
          </w:p>
        </w:tc>
        <w:tc>
          <w:tcPr>
            <w:tcW w:w="1280" w:type="dxa"/>
            <w:vAlign w:val="bottom"/>
            <w:gridSpan w:val="2"/>
          </w:tcPr>
          <w:p>
            <w:pPr>
              <w:jc w:val="right"/>
              <w:ind w:right="320"/>
              <w:spacing w:after="0" w:line="191" w:lineRule="exact"/>
              <w:rPr>
                <w:sz w:val="20"/>
                <w:szCs w:val="20"/>
                <w:color w:val="auto"/>
              </w:rPr>
            </w:pPr>
            <w:r>
              <w:rPr>
                <w:rFonts w:ascii="Times New Roman" w:cs="Times New Roman" w:eastAsia="Times New Roman" w:hAnsi="Times New Roman"/>
                <w:sz w:val="18"/>
                <w:szCs w:val="18"/>
                <w:color w:val="auto"/>
              </w:rPr>
              <w:t>42%</w:t>
            </w:r>
          </w:p>
        </w:tc>
        <w:tc>
          <w:tcPr>
            <w:tcW w:w="1280" w:type="dxa"/>
            <w:vAlign w:val="bottom"/>
            <w:gridSpan w:val="2"/>
          </w:tcPr>
          <w:p>
            <w:pPr>
              <w:jc w:val="right"/>
              <w:ind w:right="320"/>
              <w:spacing w:after="0" w:line="191" w:lineRule="exact"/>
              <w:rPr>
                <w:sz w:val="20"/>
                <w:szCs w:val="20"/>
                <w:color w:val="auto"/>
              </w:rPr>
            </w:pPr>
            <w:r>
              <w:rPr>
                <w:rFonts w:ascii="Times New Roman" w:cs="Times New Roman" w:eastAsia="Times New Roman" w:hAnsi="Times New Roman"/>
                <w:sz w:val="18"/>
                <w:szCs w:val="18"/>
                <w:color w:val="auto"/>
              </w:rPr>
              <w:t>35%</w:t>
            </w:r>
          </w:p>
        </w:tc>
        <w:tc>
          <w:tcPr>
            <w:tcW w:w="8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41%</w:t>
            </w:r>
          </w:p>
        </w:tc>
      </w:tr>
      <w:tr>
        <w:trPr>
          <w:trHeight w:val="216"/>
        </w:trPr>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-556895</wp:posOffset>
            </wp:positionV>
            <wp:extent cx="642937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29375" cy="145415"/>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-273685</wp:posOffset>
            </wp:positionV>
            <wp:extent cx="642937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5124" w:space="720"/>
            <w:col w:w="5140"/>
          </w:cols>
          <w:pgMar w:left="436" w:top="121" w:right="479" w:bottom="1440" w:gutter="0" w:footer="0" w:header="0"/>
          <w:type w:val="continuous"/>
        </w:sectPr>
      </w:pPr>
    </w:p>
    <w:tbl>
      <w:tblPr>
        <w:tblLayout w:type="fixed"/>
        <w:tblInd w:w="444"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Truck Equipment Type</w:t>
            </w:r>
          </w:p>
        </w:tc>
        <w:tc>
          <w:tcPr>
            <w:tcW w:w="17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Van equipment</w:t>
            </w:r>
          </w:p>
        </w:tc>
        <w:tc>
          <w:tcPr>
            <w:tcW w:w="21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97"/>
              </w:rPr>
              <w:t>2,108,143</w:t>
            </w:r>
          </w:p>
        </w:tc>
        <w:tc>
          <w:tcPr>
            <w:tcW w:w="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97"/>
              </w:rPr>
              <w:t>1,583,911</w:t>
            </w:r>
          </w:p>
        </w:tc>
        <w:tc>
          <w:tcPr>
            <w:tcW w:w="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1,026,938</w:t>
            </w:r>
          </w:p>
        </w:tc>
        <w:tc>
          <w:tcPr>
            <w:tcW w:w="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95"/>
              </w:rPr>
              <w:t>854,509</w:t>
            </w: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Unsided/platform equipment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883,032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689,378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474,274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5"/>
              </w:rPr>
              <w:t>391,893</w:t>
            </w: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Less-than-truckload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70,651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54,732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36,931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29,062</w:t>
            </w: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truck transportation (1)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436,656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309,655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209,055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5"/>
              </w:rPr>
              <w:t>168,723</w:t>
            </w:r>
          </w:p>
        </w:tc>
      </w:tr>
    </w:tbl>
    <w:p>
      <w:pPr>
        <w:spacing w:after="0" w:line="90" w:lineRule="exact"/>
        <w:rPr>
          <w:sz w:val="20"/>
          <w:szCs w:val="20"/>
          <w:color w:val="auto"/>
        </w:rPr>
      </w:pPr>
    </w:p>
    <w:p>
      <w:pPr>
        <w:ind w:left="424" w:right="40" w:hanging="424"/>
        <w:spacing w:after="0" w:line="26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power-only, expedited, straight truck, cargo van, and miscellaneous other truck transportation revenue generated by the transportation logistics segment. Power-only refers to shipments where the Company furnishes a power unit and an operator but not trailing equipment, which is typically provided by the shipper or consignee.</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121" w:right="4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 Arrangements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June 25, 2022, the Company has an employee equity incentive plan, the 2011 equity incentive plan (the “2011 EIP”). The Company also had two stock compensation plans for members of its Board of Directors, the Amended and Restated 2013 Directors Stock Compensation Plan (as amended and restated as of May 17, 2016, the “2013 DSCP”) and the 2022 Directors Stock Compensation Plan (the “2022 DSCP”), which replaced the 2013 DSCP. At the Company’s 2022 Annual Meeting of Stockholders held on May 11, 2022, the Company’s stockholders approved the 2022 DSCP. The provisions of the 2022 DSCP are substantially similar to the provisions of the 2013 DSCP. 6,000,000 shares of the Company’s common stock were authorized for issuance under the 2011 EIP, and 200,000 shares of the Company’s common stock were authorized for issuance under the 2022 DSCP. No further grants can be made under the 2013 DSCP, including 56,502 shares of the Company’s common stock previously reserved for issuance, but not issued, under the 2013 DSCP. The 2011 EIP, 2013 DSCP and 2022 DSCP are each referred to herein as a “Plan,” and, collectively, as the “Plans.” Amounts recognized in the financial statements with respect to these Plans are as follows (in thousands):</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170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Twenty Six Weeks</w:t>
            </w:r>
          </w:p>
        </w:tc>
        <w:tc>
          <w:tcPr>
            <w:tcW w:w="120" w:type="dxa"/>
            <w:vAlign w:val="bottom"/>
          </w:tcPr>
          <w:p>
            <w:pPr>
              <w:spacing w:after="0"/>
              <w:rPr>
                <w:sz w:val="13"/>
                <w:szCs w:val="13"/>
                <w:color w:val="auto"/>
              </w:rPr>
            </w:pPr>
          </w:p>
        </w:tc>
        <w:tc>
          <w:tcPr>
            <w:tcW w:w="15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Thirteen Weeks</w:t>
            </w:r>
          </w:p>
        </w:tc>
      </w:tr>
      <w:tr>
        <w:trPr>
          <w:trHeight w:val="173"/>
        </w:trPr>
        <w:tc>
          <w:tcPr>
            <w:tcW w:w="6760" w:type="dxa"/>
            <w:vAlign w:val="bottom"/>
          </w:tcPr>
          <w:p>
            <w:pPr>
              <w:spacing w:after="0"/>
              <w:rPr>
                <w:sz w:val="15"/>
                <w:szCs w:val="15"/>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Ended</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17"/>
        </w:trPr>
        <w:tc>
          <w:tcPr>
            <w:tcW w:w="6760" w:type="dxa"/>
            <w:vAlign w:val="bottom"/>
          </w:tcPr>
          <w:p>
            <w:pPr>
              <w:spacing w:after="0"/>
              <w:rPr>
                <w:sz w:val="10"/>
                <w:szCs w:val="10"/>
                <w:color w:val="auto"/>
              </w:rPr>
            </w:pPr>
          </w:p>
        </w:tc>
        <w:tc>
          <w:tcPr>
            <w:tcW w:w="760" w:type="dxa"/>
            <w:vAlign w:val="bottom"/>
            <w:tcBorders>
              <w:top w:val="single" w:sz="8" w:color="auto"/>
            </w:tcBorders>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June 25,</w:t>
            </w: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26,</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top w:val="single" w:sz="8" w:color="auto"/>
            </w:tcBorders>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June 25,</w:t>
            </w: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26,</w:t>
            </w:r>
          </w:p>
        </w:tc>
        <w:tc>
          <w:tcPr>
            <w:tcW w:w="100" w:type="dxa"/>
            <w:vAlign w:val="bottom"/>
          </w:tcPr>
          <w:p>
            <w:pPr>
              <w:spacing w:after="0"/>
              <w:rPr>
                <w:sz w:val="10"/>
                <w:szCs w:val="10"/>
                <w:color w:val="auto"/>
              </w:rPr>
            </w:pPr>
          </w:p>
        </w:tc>
      </w:tr>
      <w:tr>
        <w:trPr>
          <w:trHeight w:val="173"/>
        </w:trPr>
        <w:tc>
          <w:tcPr>
            <w:tcW w:w="6760" w:type="dxa"/>
            <w:vAlign w:val="bottom"/>
          </w:tcPr>
          <w:p>
            <w:pPr>
              <w:spacing w:after="0"/>
              <w:rPr>
                <w:sz w:val="15"/>
                <w:szCs w:val="15"/>
                <w:color w:val="auto"/>
              </w:rPr>
            </w:pP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68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70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the Plans during the period</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$ 5,810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$ 3,815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$ 6,864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Amount of related income tax benefit recognized during the period</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(3,717)</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(910)</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(2,376)</w:t>
            </w:r>
          </w:p>
        </w:tc>
      </w:tr>
      <w:tr>
        <w:trPr>
          <w:trHeight w:val="27"/>
        </w:trPr>
        <w:tc>
          <w:tcPr>
            <w:tcW w:w="6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cost of the Plans during the period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$ 2,905</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$ 4,488</w:t>
            </w:r>
          </w:p>
        </w:tc>
      </w:tr>
      <w:tr>
        <w:trPr>
          <w:trHeight w:val="20"/>
        </w:trPr>
        <w:tc>
          <w:tcPr>
            <w:tcW w:w="6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Included in income tax benefits recognized in the twenty-six-week periods ended June 25, 2022 and June 26, 2021 were excess tax benefits from stock-based awards of $2,844,000 and $1,038,000, respectively.</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As of June 25, 2022, there were 193,217 shares of the Company’s common stock reserved for issuance under the 2022 DSCP and 3,233,908 shares of the Company’s common stock reserved for issuance under the 2011 EIP.</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11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regarding the Company’s outstanding restricted stock unit (“RSU”) awards with either a performance condition or a market condition under the Plans: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02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920" w:type="dxa"/>
            <w:vAlign w:val="bottom"/>
          </w:tcPr>
          <w:p>
            <w:pPr>
              <w:spacing w:after="0"/>
              <w:rPr>
                <w:sz w:val="15"/>
                <w:szCs w:val="15"/>
                <w:color w:val="auto"/>
              </w:rPr>
            </w:pPr>
          </w:p>
        </w:tc>
        <w:tc>
          <w:tcPr>
            <w:tcW w:w="102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25, 2021</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209,399</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49,596</w:t>
            </w:r>
          </w:p>
        </w:tc>
        <w:tc>
          <w:tcPr>
            <w:tcW w:w="30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139.67</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Shares earned in excess of target </w:t>
            </w:r>
            <w:r>
              <w:rPr>
                <w:rFonts w:ascii="Times New Roman" w:cs="Times New Roman" w:eastAsia="Times New Roman" w:hAnsi="Times New Roman"/>
                <w:sz w:val="22"/>
                <w:szCs w:val="22"/>
                <w:color w:val="auto"/>
                <w:vertAlign w:val="superscript"/>
              </w:rPr>
              <w:t>(1)</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91,497</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92.58</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Vested shares, including shares earned in excess of target</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(174,366)</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96.14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(16,768)</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105.35</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June 25, 2022</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159,358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115.55</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180" w:hanging="424"/>
        <w:spacing w:after="0" w:line="234" w:lineRule="auto"/>
        <w:tabs>
          <w:tab w:leader="none" w:pos="54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Represents additional shares earned under each of the February 2, 2017; February 2, 2018 and February 1, 2019 RSU awards as fiscal year 2021 financial results exceeded target performance level.</w:t>
      </w:r>
    </w:p>
    <w:p>
      <w:pPr>
        <w:spacing w:after="0" w:line="20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During the twenty-six-week period ended June 25, 2022, the Company granted RSUs with a performance condition. Outstanding RSUs at both December 25, 2021 and June 25, 2022 include RSUs with a performance condition and RSUs with a market condition, as further described below and in the Company’s 2021 Annual Report on Form 10-K.</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RSUs with a performance condition granted on January 28, 2022 may vest on January 31 of 2025, 2026 and 2027 based on growth in operating income and pre-tax income per diluted share from continuing operations as compared to the results from the 2021 fiscal year.</w:t>
      </w:r>
    </w:p>
    <w:p>
      <w:pPr>
        <w:spacing w:after="0" w:line="162" w:lineRule="exact"/>
        <w:rPr>
          <w:sz w:val="20"/>
          <w:szCs w:val="20"/>
          <w:color w:val="auto"/>
        </w:rPr>
      </w:pPr>
    </w:p>
    <w:p>
      <w:pPr>
        <w:ind w:left="120" w:right="440" w:firstLine="440"/>
        <w:spacing w:after="0" w:line="272" w:lineRule="auto"/>
        <w:rPr>
          <w:sz w:val="20"/>
          <w:szCs w:val="20"/>
          <w:color w:val="auto"/>
        </w:rPr>
      </w:pPr>
      <w:r>
        <w:rPr>
          <w:rFonts w:ascii="Times New Roman" w:cs="Times New Roman" w:eastAsia="Times New Roman" w:hAnsi="Times New Roman"/>
          <w:sz w:val="17"/>
          <w:szCs w:val="17"/>
          <w:color w:val="auto"/>
        </w:rPr>
        <w:t>The Company recognized approximately $4,203,000 and $9,249,000 of share-based compensation expense related to RSU awards in the twenty-six-week periods ended June 25, 2022 and June 26, 2021, respectively. As of June 25, 2022, there was a maximum of $23.9 million of total unrecognized compensation cost related to RSU awards granted under the Plans with an expected average remaining life of approximately 3.8</w:t>
      </w:r>
    </w:p>
    <w:p>
      <w:pPr>
        <w:spacing w:after="0" w:line="2"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years. With respect to RSU awards with a performance condition, the amount of future compensation expense to be recognized will be determined based on future operating results.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Non-vested Restricted Stock and Deferred Stock Units</w:t>
      </w:r>
    </w:p>
    <w:p>
      <w:pPr>
        <w:spacing w:after="0" w:line="11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regarding the Company’s outstanding shares of non-vested restricted stock and Deferred Stock Units (defined below) under the Plans: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8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49"/>
        </w:trPr>
        <w:tc>
          <w:tcPr>
            <w:tcW w:w="5200" w:type="dxa"/>
            <w:vAlign w:val="bottom"/>
          </w:tcPr>
          <w:p>
            <w:pPr>
              <w:spacing w:after="0"/>
              <w:rPr>
                <w:sz w:val="12"/>
                <w:szCs w:val="12"/>
                <w:color w:val="auto"/>
              </w:rPr>
            </w:pPr>
          </w:p>
        </w:tc>
        <w:tc>
          <w:tcPr>
            <w:tcW w:w="16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and Deferred Stock</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3"/>
        </w:trPr>
        <w:tc>
          <w:tcPr>
            <w:tcW w:w="5200" w:type="dxa"/>
            <w:vAlign w:val="bottom"/>
          </w:tcPr>
          <w:p>
            <w:pPr>
              <w:spacing w:after="0"/>
              <w:rPr>
                <w:sz w:val="15"/>
                <w:szCs w:val="15"/>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25,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23,791</w:t>
            </w: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153.11</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(27,074)</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122.68</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(2,302)</w:t>
            </w: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108.59</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June 25, 2022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50,851</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140.31</w:t>
            </w:r>
          </w:p>
        </w:tc>
      </w:tr>
      <w:tr>
        <w:trPr>
          <w:trHeight w:val="20"/>
        </w:trPr>
        <w:tc>
          <w:tcPr>
            <w:tcW w:w="5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fair value of each share of non-vested restricted stock issued and Deferred Stock Unit granted under the Plans is based on the fair value of a share of the Company’s common stock on the date of grant. Shares of non-vested restricted stock are generally subject to vesting in three equal annual installments either on the first, second and third anniversary of the date of the grant or the third, fourth and fifth anniversary of the date of the grant, or 100% on the first or fifth anniversary of the date of the grant. For restricted stock awards granted under the 2022 DSCP, each recipient may elect to defer receipt of shares and instead receive restricted stock units (“Deferred Stock Units”), which represent contingent rights to receive shares of the Company’s common stock on the date of recipient separation from service from the Board of Directors, or, if earlier, upon a change in control event of the Company. Deferred Stock Units become vested 100% on the first anniversary of the date of the grant. Deferred Stock Units do not represent actual ownership in shares of the Company’s common stock and the recipient does not have voting rights or other incidents of ownership until the shares are issued. However, Deferred Stock Units do contain the right to receive dividend equivalent payments prior to settlement into shares.</w:t>
      </w:r>
    </w:p>
    <w:p>
      <w:pPr>
        <w:spacing w:after="0" w:line="18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of June 25, 2022, there was $5,692,000 of total unrecognized compensation cost related to non-vested shares of restricted stock and Deferred Stock Units granted under the Plans. The unrecognized compensation cost related to these non-vested shares of restricted stock and Deferred Stock Units is expected to be recognized over a weighted average period of 2.0 years.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information regarding the Company’s outstanding stock options under the Plans: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8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360" w:type="dxa"/>
            <w:vAlign w:val="bottom"/>
            <w:gridSpan w:val="3"/>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20" w:type="dxa"/>
            <w:vAlign w:val="bottom"/>
            <w:gridSpan w:val="3"/>
            <w:vMerge w:val="continue"/>
          </w:tcPr>
          <w:p>
            <w:pPr>
              <w:spacing w:after="0"/>
              <w:rPr>
                <w:sz w:val="12"/>
                <w:szCs w:val="12"/>
                <w:color w:val="auto"/>
              </w:rPr>
            </w:pPr>
          </w:p>
        </w:tc>
        <w:tc>
          <w:tcPr>
            <w:tcW w:w="184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right"/>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84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36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170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140" w:type="dxa"/>
            <w:vAlign w:val="bottom"/>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Value (000s)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25, 2021</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7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54.01</w:t>
            </w: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June 25, 2022</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56.40</w:t>
            </w:r>
          </w:p>
        </w:tc>
        <w:tc>
          <w:tcPr>
            <w:tcW w:w="18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at June 25, 2022</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56.40</w:t>
            </w:r>
          </w:p>
        </w:tc>
        <w:tc>
          <w:tcPr>
            <w:tcW w:w="18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total intrinsic value of stock options exercised during the twenty-six-week periods ended June 25, 2022 and June 26, 2021 was $369,000 and $521,000, respectively.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June 25, 2022, there was no unrecognized compensation cost related to stock options granted under the Plans.</w:t>
      </w:r>
    </w:p>
    <w:p>
      <w:pPr>
        <w:spacing w:after="0" w:line="370" w:lineRule="exact"/>
        <w:rPr>
          <w:sz w:val="20"/>
          <w:szCs w:val="20"/>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provisions for income taxes for the 2022 and 2021 twenty-six-week periods were based on estimated annual effective income tax rate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24.5% and 24.4%, respectively, adjusted for discrete events, such as benefits resulting from stock-based awards. The estimated annual effective income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tax rate was higher than the statutory federal income tax rate of 21% in both periods primarily attributable to state taxes and non-deductible executive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compensation. The effective income tax rate for the 2022 twenty-six-week period was 23.7%, which was lower than the estimated annual effective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tax rate of 24.5%, primarily attributable to excess tax benefits realized on stock-based awards. The effective income tax rate for the 2021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twenty-six-week period was 24.1%, which was lower than the estimated annual effective income tax rate of 24.4% primarily attributable to excess tax</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benefits realized on stock-based awards.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Earnings per common share are based on the weighted average number of shares outstanding, including outstanding non-vested restricted stock and outstanding Deferred Stock Units. Diluted earnings per share are based on the weighted average number of common shares and Deferred Stock Units outstanding plus the incremental shares that would have been outstanding upon the assumed exercise of all dilutive stock options. During the 2022 and 2021 twenty-six-week and thirteen-week periods, in reference to the determination of diluted earnings per share, the future compensation cost attributable to outstanding shares of non-vested restricted stock exceeded the impact of incremental shares that would have been outstanding upon the assumed exercise of all dilutive stock options.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each of the twenty-six-week periods ended June 25, 2022 and June 26, 2021, no options outstanding to purchase shares of common stock were antidilutive. Outstanding RSUs were excluded from the calculation of diluted earnings per share for all periods because the performance metric requirements or market condition for vesting had not been satisfied.</w:t>
      </w:r>
    </w:p>
    <w:p>
      <w:pPr>
        <w:spacing w:after="0" w:line="199"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Cash Flow Information</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During the 2022 twenty-six-week period, Landstar paid income taxes and interest of $95,730,000 and $2,098,000, respectively. During the 2021 twenty-six-week period, Landstar paid income taxes and interest of $51,679,000 and $1,883,000, respectively. Landstar acquired operating property by entering into finance leases in the amount of $18,073,000 in the 2022 twenty-six-week period. Landstar did not acquire any operating property by entering into finance leases in the 2021 twenty-six-week period.</w:t>
      </w:r>
    </w:p>
    <w:p>
      <w:pPr>
        <w:spacing w:after="0" w:line="203"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the Company’s reportable business segments as of and for the twenty-six-week and thirteen-week periods ended June 25, 2022 and June 26, 2021:</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9"/>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Twenty Six Weeks Ended</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6"/>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June 25, 2022</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7"/>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June 26, 2021</w:t>
            </w:r>
          </w:p>
        </w:tc>
        <w:tc>
          <w:tcPr>
            <w:tcW w:w="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1100" w:type="dxa"/>
            <w:vAlign w:val="bottom"/>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Transportation</w:t>
            </w:r>
          </w:p>
        </w:tc>
        <w:tc>
          <w:tcPr>
            <w:tcW w:w="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00" w:type="dxa"/>
            <w:vAlign w:val="bottom"/>
          </w:tcPr>
          <w:p>
            <w:pPr>
              <w:spacing w:after="0"/>
              <w:rPr>
                <w:sz w:val="10"/>
                <w:szCs w:val="10"/>
                <w:color w:val="auto"/>
              </w:rPr>
            </w:pPr>
          </w:p>
        </w:tc>
        <w:tc>
          <w:tcPr>
            <w:tcW w:w="88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0"/>
                <w:szCs w:val="10"/>
                <w:color w:val="auto"/>
              </w:rPr>
            </w:pPr>
          </w:p>
        </w:tc>
        <w:tc>
          <w:tcPr>
            <w:tcW w:w="1040" w:type="dxa"/>
            <w:vAlign w:val="bottom"/>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Transportation</w:t>
            </w:r>
          </w:p>
        </w:tc>
        <w:tc>
          <w:tcPr>
            <w:tcW w:w="60" w:type="dxa"/>
            <w:vAlign w:val="bottom"/>
          </w:tcPr>
          <w:p>
            <w:pPr>
              <w:spacing w:after="0"/>
              <w:rPr>
                <w:sz w:val="10"/>
                <w:szCs w:val="10"/>
                <w:color w:val="auto"/>
              </w:rPr>
            </w:pPr>
          </w:p>
        </w:tc>
        <w:tc>
          <w:tcPr>
            <w:tcW w:w="80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40" w:type="dxa"/>
            <w:vAlign w:val="bottom"/>
          </w:tcPr>
          <w:p>
            <w:pPr>
              <w:spacing w:after="0"/>
              <w:rPr>
                <w:sz w:val="10"/>
                <w:szCs w:val="10"/>
                <w:color w:val="auto"/>
              </w:rPr>
            </w:pPr>
          </w:p>
        </w:tc>
        <w:tc>
          <w:tcPr>
            <w:tcW w:w="8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8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60" w:type="dxa"/>
            <w:vAlign w:val="bottom"/>
          </w:tcPr>
          <w:p>
            <w:pPr>
              <w:spacing w:after="0"/>
              <w:rPr>
                <w:sz w:val="15"/>
                <w:szCs w:val="15"/>
                <w:color w:val="auto"/>
              </w:rPr>
            </w:pPr>
          </w:p>
        </w:tc>
        <w:tc>
          <w:tcPr>
            <w:tcW w:w="80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revenue</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3,906,558</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$ 39,105</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$ 3,945,663</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2,823,557</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$ 34,695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$ 2,858,252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Internal revenue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52,870</w:t>
            </w:r>
          </w:p>
        </w:tc>
        <w:tc>
          <w:tcPr>
            <w:tcW w:w="6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52,870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43,495</w:t>
            </w:r>
          </w:p>
        </w:tc>
        <w:tc>
          <w:tcPr>
            <w:tcW w:w="1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43,495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1,307</w:t>
            </w: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291,890</w:t>
            </w:r>
          </w:p>
        </w:tc>
        <w:tc>
          <w:tcPr>
            <w:tcW w:w="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21,361</w:t>
            </w:r>
          </w:p>
        </w:tc>
        <w:tc>
          <w:tcPr>
            <w:tcW w:w="6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313,251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199,960</w:t>
            </w:r>
          </w:p>
        </w:tc>
        <w:tc>
          <w:tcPr>
            <w:tcW w:w="6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25,556</w:t>
            </w:r>
          </w:p>
        </w:tc>
        <w:tc>
          <w:tcPr>
            <w:tcW w:w="1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225,516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on long-lived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7,467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7,467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40,977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40,977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40,973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40,973</w:t>
            </w:r>
          </w:p>
        </w:tc>
        <w:tc>
          <w:tcPr>
            <w:tcW w:w="0" w:type="dxa"/>
            <w:vAlign w:val="bottom"/>
          </w:tcPr>
          <w:p>
            <w:pPr>
              <w:spacing w:after="0"/>
              <w:rPr>
                <w:sz w:val="1"/>
                <w:szCs w:val="1"/>
                <w:color w:val="auto"/>
              </w:rPr>
            </w:pPr>
          </w:p>
        </w:tc>
      </w:tr>
      <w:tr>
        <w:trPr>
          <w:trHeight w:val="373"/>
        </w:trPr>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9"/>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6"/>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June 25, 2022</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7"/>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June 26, 2021</w:t>
            </w:r>
          </w:p>
        </w:tc>
        <w:tc>
          <w:tcPr>
            <w:tcW w:w="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Transportation</w:t>
            </w:r>
          </w:p>
        </w:tc>
        <w:tc>
          <w:tcPr>
            <w:tcW w:w="12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00" w:type="dxa"/>
            <w:vAlign w:val="bottom"/>
          </w:tcPr>
          <w:p>
            <w:pPr>
              <w:spacing w:after="0"/>
              <w:rPr>
                <w:sz w:val="10"/>
                <w:szCs w:val="10"/>
                <w:color w:val="auto"/>
              </w:rPr>
            </w:pPr>
          </w:p>
        </w:tc>
        <w:tc>
          <w:tcPr>
            <w:tcW w:w="8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4"/>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Transportation</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40" w:type="dxa"/>
            <w:vAlign w:val="bottom"/>
          </w:tcPr>
          <w:p>
            <w:pPr>
              <w:spacing w:after="0"/>
              <w:rPr>
                <w:sz w:val="10"/>
                <w:szCs w:val="10"/>
                <w:color w:val="auto"/>
              </w:rPr>
            </w:pPr>
          </w:p>
        </w:tc>
        <w:tc>
          <w:tcPr>
            <w:tcW w:w="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2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revenue</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1,955,219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$ 19,845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$1,975,064</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1,553,058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$ 17,660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$1,570,718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Internal revenue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39,986</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39,986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33,961</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33,961</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586</w:t>
            </w:r>
          </w:p>
        </w:tc>
        <w:tc>
          <w:tcPr>
            <w:tcW w:w="9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748</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139,944</w:t>
            </w: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10,474</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150,418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110,228</w:t>
            </w:r>
          </w:p>
        </w:tc>
        <w:tc>
          <w:tcPr>
            <w:tcW w:w="8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12,020</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122,248</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on long-lived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3,858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3,858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4,924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4,924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In the twenty-six-week periods ended June 25, 2022 and June 26, 2021, no single customer accounted for more than 10% of the Company’s consolidated revenue.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Income</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and changes in accumulated other comprehensive income (loss), net of related income taxes, as of and for the twenty-six-week period ended June 25, 2022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Holding Gains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2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18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25, 2021</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25, 2022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(7,278)</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(5,043)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(12,321)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to investment income due to the realization of previously unrealized gains and losses in the accompanying consolidated statements of income were not significant for the twenty-six-week period ended June 25, 2022.</w:t>
      </w:r>
    </w:p>
    <w:p>
      <w:pPr>
        <w:spacing w:after="0" w:line="306"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Investments include primarily investment-grade corporate bonds and asset-backed securities having maturities of up to five years (the “bond portfolio”) and money market investments. Investments in the bond portfolio are reported as available-for-sale and are carried at fair value. Investments maturing less than one year from the balance sheet date are included in short-term investments and investments maturing more than one year from the balance sheet date are included in other assets in the consolidated balance sheets. Management performs an analysis of the nature of the unrealized losses on available-for-sale investments to determine whether an allowance for credit loss is necessary. Unrealized losses, representing the excess of the purchase price of an investment over its fair value as of the end of a period, considered to be a result of credit-related factors, are to be included as a charge in the statement of income, while unrealized losses considered to be a result of noncredit-related factors are to be included as a component of shareholders’ equity. Investments whose values are based on quoted market prices in active markets are classified within Level 1. Investments that trade in markets that are not considered to be active, but are valued based on quoted market prices, are classified within Level 2. As Level 2 investments include positions that are not traded in active markets, valuations may be adjusted to reflect illiquidity and/or non-transferability, which are generally based on available market information. Any transfers between levels are recognized as of the beginning of any reporting period. Fair value of the bond portfolio was determined using Level 1 inputs related to U.S. Treasury obligations and money market investments and Level 2 inputs related to investment-grade corporate bonds, asset-backed securities and direct obligations of government agencies. Unrealized losses, net of unrealized gains, on the investments in the bond portfolio were $9,272,000 at June 25, 2022, while unrealized gains, net of unrealized losses, on the investments in the bond portfolio were $144,000 at December 25, 2021.</w:t>
      </w:r>
    </w:p>
    <w:p>
      <w:pPr>
        <w:spacing w:after="0" w:line="1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0139"/>
          </w:cols>
          <w:pgMar w:left="320" w:top="482" w:right="1440" w:bottom="1440" w:gutter="0" w:footer="0" w:header="0"/>
        </w:sectPr>
      </w:pPr>
    </w:p>
    <w:bookmarkStart w:id="19" w:name="page20"/>
    <w:bookmarkEnd w:id="19"/>
    <w:p>
      <w:pPr>
        <w:ind w:left="440"/>
        <w:spacing w:after="0"/>
        <w:rPr>
          <w:sz w:val="20"/>
          <w:szCs w:val="20"/>
          <w:color w:val="auto"/>
        </w:rPr>
      </w:pPr>
      <w:r>
        <w:rPr>
          <w:rFonts w:ascii="Times New Roman" w:cs="Times New Roman" w:eastAsia="Times New Roman" w:hAnsi="Times New Roman"/>
          <w:sz w:val="18"/>
          <w:szCs w:val="18"/>
          <w:color w:val="auto"/>
        </w:rPr>
        <w:t>The amortized cost and fair values of available-for-sale investments are as follows at June 25, 2022 and December 25, 2021 (in thousands):</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June 25, 2022</w:t>
            </w: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right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right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right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investments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25,368</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 and direct obligations of</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government agencies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124,513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Treasury obligations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gridSpan w:val="3"/>
            <w:vMerge w:val="continue"/>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172,727</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163,455</w:t>
            </w:r>
          </w:p>
        </w:tc>
        <w:tc>
          <w:tcPr>
            <w:tcW w:w="0" w:type="dxa"/>
            <w:vAlign w:val="bottom"/>
          </w:tcPr>
          <w:p>
            <w:pPr>
              <w:spacing w:after="0"/>
              <w:rPr>
                <w:sz w:val="1"/>
                <w:szCs w:val="1"/>
                <w:color w:val="auto"/>
              </w:rPr>
            </w:pPr>
          </w:p>
        </w:tc>
      </w:tr>
      <w:tr>
        <w:trPr>
          <w:trHeight w:val="20"/>
        </w:trPr>
        <w:tc>
          <w:tcPr>
            <w:tcW w:w="59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25, 2021</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6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investments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 and direct obligations of</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government agencies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137,916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obligations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0" w:type="dxa"/>
            <w:vAlign w:val="bottom"/>
          </w:tcPr>
          <w:p>
            <w:pPr>
              <w:spacing w:after="0"/>
              <w:rPr>
                <w:sz w:val="1"/>
                <w:szCs w:val="1"/>
                <w:color w:val="auto"/>
              </w:rPr>
            </w:pPr>
          </w:p>
        </w:tc>
      </w:tr>
      <w:tr>
        <w:trPr>
          <w:trHeight w:val="223"/>
        </w:trPr>
        <w:tc>
          <w:tcPr>
            <w:tcW w:w="5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171,449</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460" w:firstLine="440"/>
        <w:spacing w:after="0" w:line="282" w:lineRule="auto"/>
        <w:rPr>
          <w:sz w:val="20"/>
          <w:szCs w:val="20"/>
          <w:color w:val="auto"/>
        </w:rPr>
      </w:pPr>
      <w:r>
        <w:rPr>
          <w:rFonts w:ascii="Times New Roman" w:cs="Times New Roman" w:eastAsia="Times New Roman" w:hAnsi="Times New Roman"/>
          <w:sz w:val="18"/>
          <w:szCs w:val="18"/>
          <w:color w:val="auto"/>
        </w:rPr>
        <w:t>For those available-for-sale investments with unrealized losses at June 25, 2022 and December 25, 2021, the following table summarizes the duration of the unrealized loss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20" w:type="dxa"/>
            <w:vAlign w:val="bottom"/>
          </w:tcPr>
          <w:p>
            <w:pPr>
              <w:spacing w:after="0"/>
              <w:rPr>
                <w:sz w:val="15"/>
                <w:szCs w:val="15"/>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6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6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55"/>
        </w:trPr>
        <w:tc>
          <w:tcPr>
            <w:tcW w:w="426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June 25, 2022</w:t>
            </w:r>
          </w:p>
        </w:tc>
        <w:tc>
          <w:tcPr>
            <w:tcW w:w="12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18,369</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18,369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2,135</w:t>
            </w:r>
          </w:p>
        </w:tc>
        <w:tc>
          <w:tcPr>
            <w:tcW w:w="0" w:type="dxa"/>
            <w:vAlign w:val="bottom"/>
          </w:tcPr>
          <w:p>
            <w:pPr>
              <w:spacing w:after="0"/>
              <w:rPr>
                <w:sz w:val="1"/>
                <w:szCs w:val="1"/>
                <w:color w:val="auto"/>
              </w:rPr>
            </w:pPr>
          </w:p>
        </w:tc>
      </w:tr>
      <w:tr>
        <w:trPr>
          <w:trHeight w:val="198"/>
        </w:trPr>
        <w:tc>
          <w:tcPr>
            <w:tcW w:w="42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Corporate bonds and direct obligations of</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90,412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5,659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15,412</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105,824</w:t>
            </w: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7,104</w:t>
            </w:r>
          </w:p>
        </w:tc>
        <w:tc>
          <w:tcPr>
            <w:tcW w:w="0" w:type="dxa"/>
            <w:vAlign w:val="bottom"/>
          </w:tcPr>
          <w:p>
            <w:pPr>
              <w:spacing w:after="0"/>
              <w:rPr>
                <w:sz w:val="1"/>
                <w:szCs w:val="1"/>
                <w:color w:val="auto"/>
              </w:rPr>
            </w:pPr>
          </w:p>
        </w:tc>
      </w:tr>
      <w:tr>
        <w:trPr>
          <w:trHeight w:val="216"/>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Treasury obligations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2,280</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111,061</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7,856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15,412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126,473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9,301</w:t>
            </w:r>
          </w:p>
        </w:tc>
        <w:tc>
          <w:tcPr>
            <w:tcW w:w="0" w:type="dxa"/>
            <w:vAlign w:val="bottom"/>
          </w:tcPr>
          <w:p>
            <w:pPr>
              <w:spacing w:after="0"/>
              <w:rPr>
                <w:sz w:val="1"/>
                <w:szCs w:val="1"/>
                <w:color w:val="auto"/>
              </w:rPr>
            </w:pPr>
          </w:p>
        </w:tc>
      </w:tr>
      <w:tr>
        <w:trPr>
          <w:trHeight w:val="20"/>
        </w:trPr>
        <w:tc>
          <w:tcPr>
            <w:tcW w:w="4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25, 2021</w:t>
            </w:r>
          </w:p>
        </w:tc>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60" w:type="dxa"/>
            <w:vAlign w:val="bottom"/>
            <w:gridSpan w:val="3"/>
            <w:vMerge w:val="continue"/>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22,095</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22,095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198"/>
        </w:trPr>
        <w:tc>
          <w:tcPr>
            <w:tcW w:w="42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Corporate bonds and direct obligations of</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72,526</w:t>
            </w:r>
          </w:p>
        </w:tc>
        <w:tc>
          <w:tcPr>
            <w:tcW w:w="14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94,621</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94,621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believes unrealized losses on investments were primarily caused by rising interest rates rather than changes in credit quality. The Company expects to recover, through collection of all of the contractual cash flows of each security, the amortized cost basis of these securities as it does not intend to sell, and does not anticipate being required to sell, these securities before recovery of the cost basis. For these reasons, no losses have been recognized in the Company’s consolidated statements of income.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Landstar’s noncancelable leases are primarily comprised of finance leases for the acquisition of new trailing equipment. Each finance lease for the acquisition of trailing equipment is a five year lease with a $1 purchase option for the applicable equipment at lease expiration. Substantially all of Landstar’s operating lease right-of-use assets and operating lease liabilities represent leases for facilities maintained in support of the Company’s network of BCO Independent Contractors and office space used to conduct Landstar’s business.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121"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0139"/>
          </w:cols>
          <w:pgMar w:left="320" w:top="482" w:right="1440" w:bottom="1440" w:gutter="0" w:footer="0" w:header="0"/>
        </w:sectPr>
      </w:pPr>
    </w:p>
    <w:bookmarkStart w:id="21" w:name="page22"/>
    <w:bookmarkEnd w:id="21"/>
    <w:p>
      <w:pPr>
        <w:ind w:right="260"/>
        <w:spacing w:after="0" w:line="261" w:lineRule="auto"/>
        <w:rPr>
          <w:sz w:val="20"/>
          <w:szCs w:val="20"/>
          <w:color w:val="auto"/>
        </w:rPr>
      </w:pPr>
      <w:r>
        <w:rPr>
          <w:rFonts w:ascii="Times New Roman" w:cs="Times New Roman" w:eastAsia="Times New Roman" w:hAnsi="Times New Roman"/>
          <w:sz w:val="18"/>
          <w:szCs w:val="18"/>
          <w:color w:val="auto"/>
        </w:rPr>
        <w:t>These leases do not have significant rent escalation holidays, concessions, leasehold improvement incentives or other build-out clauses. Further, the leases do not contain contingent rent provisions. Landstar also rents certain trailing equipment to supplement the Company-owned trailer fleet under “month-to-month” lease terms, which are not required to be recorded on the balance sheet due to the less than twelve month lease term exemption. Sublease income is primarily comprised of weekly trailing equipment rentals to BCO Independent Contractors.</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Most of Landstar’s operating leases include one or more options to renew. The exercise of lease renewal options is typically at Landstar’s sole discretion, and, as such, the majority of renewals to extend the lease terms are not included in the right-of-use assets and lease liabilities as they are not reasonably certain of exercise. Landstar regularly evaluates the renewal options, and when they are reasonably certain of exercise, Landstar includes the renewal period in the lease term.</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As most of Landstar’s operating leases do not provide an implicit rate, Landstar utilized its incremental borrowing rate based on the information available at the lease commencement date in determining the present value of the lease payments. Landstar has a centrally managed treasury function; therefore, based on the applicable lease terms and the current economic environment, the Company applies a portfolio approach for determining the incremental borrowing rate.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lease cost for finance leases and operating leases for the twenty six weeks ended June 25, 2022 were (in thousands):</w:t>
      </w:r>
    </w:p>
    <w:p>
      <w:pPr>
        <w:spacing w:after="0" w:line="270"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$10,792</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4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23"/>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finance lease cost</w:t>
            </w:r>
          </w:p>
        </w:tc>
        <w:tc>
          <w:tcPr>
            <w:tcW w:w="35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cost</w:t>
            </w:r>
          </w:p>
        </w:tc>
        <w:tc>
          <w:tcPr>
            <w:tcW w:w="4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1,757</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Variable lease cost</w:t>
            </w:r>
          </w:p>
        </w:tc>
        <w:tc>
          <w:tcPr>
            <w:tcW w:w="3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Sublease income</w:t>
            </w:r>
          </w:p>
        </w:tc>
        <w:tc>
          <w:tcPr>
            <w:tcW w:w="35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operating lease income</w:t>
            </w:r>
          </w:p>
        </w:tc>
        <w:tc>
          <w:tcPr>
            <w:tcW w:w="3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Total net lease cost</w:t>
            </w:r>
          </w:p>
        </w:tc>
        <w:tc>
          <w:tcPr>
            <w:tcW w:w="35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520" w:type="dxa"/>
            <w:vAlign w:val="bottom"/>
            <w:vMerge w:val="restart"/>
          </w:tcPr>
          <w:p>
            <w:pPr>
              <w:jc w:val="right"/>
              <w:ind w:right="2850"/>
              <w:spacing w:after="0"/>
              <w:rPr>
                <w:sz w:val="20"/>
                <w:szCs w:val="20"/>
                <w:color w:val="auto"/>
              </w:rPr>
            </w:pPr>
            <w:r>
              <w:rPr>
                <w:rFonts w:ascii="Times New Roman" w:cs="Times New Roman" w:eastAsia="Times New Roman" w:hAnsi="Times New Roman"/>
                <w:sz w:val="18"/>
                <w:szCs w:val="18"/>
                <w:color w:val="auto"/>
              </w:rPr>
              <w:t>16</w:t>
            </w: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6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40" w:top="121" w:right="5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0139"/>
          </w:cols>
          <w:pgMar w:left="320" w:top="482" w:right="1440"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8"/>
          <w:szCs w:val="18"/>
          <w:color w:val="auto"/>
        </w:rPr>
        <w:t>A summary of the lease classification on our consolidated balance sheet as of June 25, 2022 is as follows (in thousands):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261"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w:t>
            </w:r>
          </w:p>
        </w:tc>
        <w:tc>
          <w:tcPr>
            <w:tcW w:w="5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5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1,743</w:t>
            </w:r>
          </w:p>
        </w:tc>
      </w:tr>
      <w:tr>
        <w:trPr>
          <w:trHeight w:val="22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5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property, less accumulated depreciation and amortization</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148,084</w:t>
            </w:r>
          </w:p>
        </w:tc>
        <w:tc>
          <w:tcPr>
            <w:tcW w:w="40" w:type="dxa"/>
            <w:vAlign w:val="bottom"/>
          </w:tcPr>
          <w:p>
            <w:pPr>
              <w:spacing w:after="0"/>
              <w:rPr>
                <w:sz w:val="19"/>
                <w:szCs w:val="19"/>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assets</w:t>
            </w:r>
          </w:p>
        </w:tc>
        <w:tc>
          <w:tcPr>
            <w:tcW w:w="5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149,827</w:t>
            </w:r>
          </w:p>
        </w:tc>
      </w:tr>
      <w:tr>
        <w:trPr>
          <w:trHeight w:val="20"/>
        </w:trPr>
        <w:tc>
          <w:tcPr>
            <w:tcW w:w="23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w:t>
      </w:r>
    </w:p>
    <w:p>
      <w:pPr>
        <w:spacing w:after="0" w:line="225"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for the finance and operating leases to the finance and operating lease liabilities recorded on the balance sheet at June 25, 2022 (in thousands):</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Finance</w:t>
            </w:r>
          </w:p>
        </w:tc>
        <w:tc>
          <w:tcPr>
            <w:tcW w:w="18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5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09"/>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Remainder</w:t>
            </w:r>
          </w:p>
        </w:tc>
        <w:tc>
          <w:tcPr>
            <w:tcW w:w="1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35,904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639</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26,048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535</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116,178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1,846</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 (1.6% to 4.6%)</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r>
      <w:tr>
        <w:trPr>
          <w:trHeight w:val="27"/>
        </w:trPr>
        <w:tc>
          <w:tcPr>
            <w:tcW w:w="5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110,826</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1,743</w:t>
            </w:r>
          </w:p>
        </w:tc>
      </w:tr>
      <w:tr>
        <w:trPr>
          <w:trHeight w:val="20"/>
        </w:trPr>
        <w:tc>
          <w:tcPr>
            <w:tcW w:w="5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36,827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73,999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712</w:t>
            </w: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and other noncurrent liabilities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1,031</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and the weighted average discount rate for finance and operating leases as of June 25, 2022 were:</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Leases</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8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3.6</w:t>
            </w:r>
          </w:p>
        </w:tc>
        <w:tc>
          <w:tcPr>
            <w:tcW w:w="9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2.8</w:t>
            </w:r>
          </w:p>
        </w:tc>
        <w:tc>
          <w:tcPr>
            <w:tcW w:w="200" w:type="dxa"/>
            <w:vAlign w:val="bottom"/>
            <w:tcBorders>
              <w:top w:val="single" w:sz="8" w:color="CCEEFF"/>
            </w:tcBorders>
            <w:shd w:val="clear" w:color="auto" w:fill="CCEEFF"/>
          </w:tcPr>
          <w:p>
            <w:pPr>
              <w:spacing w:after="0"/>
              <w:rPr>
                <w:sz w:val="18"/>
                <w:szCs w:val="18"/>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2.8%</w:t>
            </w: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4.0%</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121"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Other than finance lease obligations as presented on the consolidated balance sheets, the Company had no outstanding debt as of June 25, 2022 and December 25, 2021.</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On August 18, 2020, Landstar entered into an amended and restated credit agreement with a syndicate of banks and JPMorgan Chase Bank, N.A., as administrative agent (the “First Amended and Restated Credit Agreement”).</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As previously disclosed in a Form 8-K filed with the SEC on July 8, 2022, Landstar entered into a second amended and restated credit agreement, dated July 1, 2022, with a bank syndicate led by JPMorgan Chase Bank, N.A., as administrative agent (the “Second Amended and Restated Credit Agreement”) that superseded and replaced the First Amended and Restated Credit Agreement. The Second Amended and Restated Credit Agreement, which matures July 1, 2027, provides for borrowing capacity in the form of a revolving credit facility of $300,000,000, $45,000,000 of which may be utilized in the form of letters of credit. The Second Amended and Restated Credit Agreement also includes an “accordion” feature providing for a possible increase of up to an aggregate amount of borrowing capacity of $600,000,000.</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Second Amended and Restated Credit Agreement, which superseded and replaced the First Amended and Restated Credit Agreement, is referred to herein as the “Credit Agreement.” As of June 25, 2022, there were no borrowings outstanding under the revolving credit facility of the Credit Agreement.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121"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0139"/>
          </w:cols>
          <w:pgMar w:left="320" w:top="482" w:right="1440" w:bottom="1440" w:gutter="0" w:footer="0" w:header="0"/>
        </w:sectPr>
      </w:pPr>
    </w:p>
    <w:bookmarkStart w:id="25" w:name="page26"/>
    <w:bookmarkEnd w:id="25"/>
    <w:p>
      <w:pPr>
        <w:ind w:firstLine="440"/>
        <w:spacing w:after="0" w:line="256" w:lineRule="auto"/>
        <w:rPr>
          <w:sz w:val="20"/>
          <w:szCs w:val="20"/>
          <w:color w:val="auto"/>
        </w:rPr>
      </w:pPr>
      <w:r>
        <w:rPr>
          <w:rFonts w:ascii="Times New Roman" w:cs="Times New Roman" w:eastAsia="Times New Roman" w:hAnsi="Times New Roman"/>
          <w:sz w:val="18"/>
          <w:szCs w:val="18"/>
          <w:color w:val="auto"/>
        </w:rPr>
        <w:t>The revolving credit loans under the Credit Agreement, at the option of Landstar, bear interest at (i) a forward-looking term rate based on the secured overnight financing rate plus 0.10% and an applicable margin ranging from 1.25% to 2.00%, or (ii) an alternate base rate plus an applicable margin ranging from 0.25% to 1.00%, in each case with the applicable margin determined based upon the Company’s Leverage Ratio, as defined in the Credit Agreement, at the end of the most recent applicable fiscal quarter for which financial statements have been delivered. The revolving credit facility bears a commitment fee, payable quarterly in arrears, of 0.20% to 0.30%, based on the Company’s Leverage Ratio at the end of the most recent applicable fiscal quarter for which financial statements have been delivered.</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Credit Agreement contains a number of covenants that limit, among other things, the incurrence of additional indebtedness. The Company is required to, among other things, maintain a minimum fixed charge coverage ratio, as described in the Credit Agreement, and maintain a Leverage Ratio, as defined in the Credit Agreement, below a specified maximum. The Credit Agreement provides for a restriction on cash dividends and other distributions to stockholders on the Company’s capital stock to the extent there is a default under the Credit Agreement. In addition, the Credit Agreement under certain circumstances limits the amount of such cash dividends and other distributions to stockholders to the extent that, after giving effect to any payment made to effect such cash dividend or other distribution, the Leverage Ratio would exceed 2.5 to 1 on a pro forma basis as of the end of the Company’s most recently completed fiscal quarter. The Credit Agreement provides for an event of default in the event that, among other things, a person or group acquires 35% or more of the outstanding capital stock of the Company or obtains power to elect a majority of the Company’s directors or the directors cease to consist of a majority of Continuing Directors, as defined in the Credit Agreement. None of these covenants are presently considered by management to be materially restrictive to the Company’s operations, capital resources or liquidity. The Company is currently in compliance with all of the debt covenants under the Credit Agreement.</w:t>
      </w:r>
    </w:p>
    <w:p>
      <w:pPr>
        <w:spacing w:after="0" w:line="19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interest rates on borrowings under the revolving credit facility are typically tied to short-term interest rates that adjust monthly and, as such, carrying value approximates fair value. Interest rates on borrowings under finance leases approximate the interest rates that would currently be available to the Company under similar terms and, as such, carrying value approximates fair value.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Short-term investments include $41,549,000 in current maturities of investments held by the Company’s insurance segment at June 25, 2022. The non-current portion of the bond portfolio of $121,906,000 is included in other assets. The short-term investments, together with $43,525,000 of non-current investments, provide collateral for the $76,567,000 of letters of credit issued to guarantee payment of insurance claims. As of June 25, 2022, Landstar also had $33,495,000 of additional letters of credit outstanding under the Credit Agreement.</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is involved in certain claims and pending litigation arising from the normal conduct of business. Many of these claims are covered in whole or in part by insurance. Based on knowledge of the facts and, in certain cases, opinions of outside counsel, management believes that adequate provisions have been made for probable losses with respect to the resolution of all such claims and pending litigation and that the ultimate outcome, after provisions therefor, will not have a material adverse effect on the financial condition of the Company, but could have a material effect on the results of operations in a given quarter or year.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 investment</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On April 1, 2022, Landstar Investment Holdco, LLC, a newly formed Delaware LLC and wholly-owned subsidiary of Landstar System Holdings, Inc., purchased Class A units of Cavnue, LLC, for approximately $4,999,000 in cash consideration. Cavnue, LLC is a privately held company focused on combining technology and road infrastructure to unlock the full potential of connected and autonomous vehicles.</w:t>
      </w:r>
    </w:p>
    <w:p>
      <w:pPr>
        <w:spacing w:after="0" w:line="176"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This non-controlling investment in units of Cavnue, LLC, is considered an investment in non-marketable equity securities without a readily determinable market value. The carrying value of our non-marketable equity securities going forward will be adjusted to fair value upon observable transactions for identical or similar investments of the same issuer or impairment (referred to as the measurement alternative).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121"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22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interim consolidated financial statements and notes thereto included herein, and with the Company’s audited financial statements and notes thereto for the fiscal year ended December 25, 2021 and Management’s Discussion and Analysis of Financial Condition and Results of Operations included in the 2021 Annual Report on Form 10-K.</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25"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following is a “safe harbor” statement under the Private Securities Litigation Reform Act of 1995. Statements contained in this document that are not based on historical facts are “forward-looking statements.” This Management’s Discussion and Analysis of Financial Condition and Results of Operations and other sections of this Form 10-Q contain forward-looking statements, such as statements which relate to Landstar’s business objectives, plans, strategies and expectations. Terms such as “anticipates,” “believes,” “estimates,” “intention,” “expects,” “plans,” “predicts,” “may,” “should,” “could,” “will,” the negative thereof and similar expressions are intended to identify forward-looking statements. Such statements are by nature subject to uncertainties and risks, including but not limited to: the impact of the Russian conflict with Ukraine on the operations of certain independent commission sales agents, including the Company’s largest such agent by revenue in the 2021 fiscal year; the impact of the coronavirus (COVID-19) pandemic; an increase in the frequency or severity of accidents or other claims; unfavorable development of existing accident claims; dependence on third party insurance companies; dependence on independent commission sales agents; dependence on third party capacity providers; decreased demand for transportation services; U.S trade relationships; substantial industry competition; disruptions or failures in the Company’s computer systems; cyber and other information security incidents; dependence on key vendors; changes in fuel taxes; status of independent contractors; regulatory and legislative changes; regulations focused on diesel emissions and other air quality matters; intellectual property; and other operational, financial or legal risks or uncertainties detailed in Landstar’s Form 10-K for the 2021 fiscal year, described in Item 1A “Risk Factors”, Landstar’s Form 10-Q for the 2022 first quarter, described in Part II, Item 1A “Risk Factors”, and in this report or in Landstar’s other Securities and Exchange Commission filings from time to time. These risks and uncertainties could cause actual results or events to differ materially from historical results or those anticipated. Investors should not place undue reliance on such forward-looking statements and the Company undertakes no obligation to publicly update or revise any forward-looking statements.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Landstar System, Inc. and its subsidiary, Landstar System Holdings, Inc. (collectively referred to herein with their subsidiaries and other affiliated companies as “Landstar” or the “Company”), a Fortune 500 company, is a worldwide, technology-enabled, asset-light provider of integrated transportation management solutions delivering safe, specialized transportation services to a broad range of customers utilizing a network of agents, third party capacity providers and employees. The Company offers services to its customers across multiple transportation modes, with the ability to arrange for individual shipments of freight to comprehensive third party logistics solutions to meet all of a customer’s transportation needs. Landstar provides services principally throughout the United States and to a lesser extent in Canada and Mexico, and between the United States and Canada, Mexico and other countries around the world. The Company’s services emphasize safety, information coordination and customer service and are delivered through a network of over 1,200 independent commission sales agents and over 111,000 third party capacity providers, primarily truck capacity providers, linked together by a series of digital technologies which are provided and coordinated by the Company. The nature of the Company’s business is such that a significant portion of its operating costs varies directly with revenue.</w:t>
      </w:r>
    </w:p>
    <w:p>
      <w:pPr>
        <w:spacing w:after="0" w:line="19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Landstar markets its integrated transportation management solutions primarily through independent commission sales agents and exclusively utilizes third party capacity providers to transport customers’ freight. Landstar’s independent commission sales agents enter into contractual arrangements with the Company and are responsible for locating freight, making that freight available to Landstar’s capacity providers and coordinating the transportation of the freight with customers and capacity providers. The Company’s third party capacity providers consist of independent contractors who provide truck capacity to the Company under exclusive lease arrangements (the “BCO Independent Contractors”), unrelated trucking companies who provide truck capacity to the Company under non-exclusive contractual arrangements (the “Truck Brokerage Carriers”), air cargo carriers, ocean cargo carriers and railroads. Through this network of agents and capacity providers linked together by Landstar’s ecosystem of digital technologies, Landstar operates an integrated transportation management solutions business primarily throughout North America with revenue of $6.5 billion during the most recently completed fiscal year. The Company reports the results of two operating segments: the transportation logistics segment and the insurance segment.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transportation logistics segment provides a wide range of integrated transportation management solutions. Transportation services are provided by Landstar’s “Operating Subsidiaries”: Landstar Ranger, Inc., Landstar Inway, Inc., Landstar Ligon, Inc., Landstar Gemini, Inc., Landstar Transportation Logistics, Inc., Landstar Global Logistics, Inc., Landstar Express America, Inc., Landstar Canada, Inc., Landstar Metro, S.A.P.I. de C.V., and as further described below, Landstar Blue. Transportation services offered by the Company include truckload and less-than-truckload transportation and other truck transportation, rail intermodal, air cargo, ocean cargo, expedited ground and air delivery of time-critical freight, heavy-haul/specialized, U.S.-Canada and U.S.-Mexico cross-border, intra-Mexico, intra-Canada, project cargo and customs brokerage. Examples of the industries serviced by the transportation logistics segment include automotive parts and assemblies, consumer durables, building products, metals, chemicals, foodstuffs, heavy machinery, retail, electronics and military equipment. In addition, the transportation logistics segment provides transportation services to other transportation companies, including third party logistics and less-than-truckload service providers. The independent commission sales agents market services provided by the transportation logistics segment. Billings for freight transportation services are typically charged to customers on a per shipment basis for the physical transportation of freight and are referred to as transportation revenue. During the twenty-six-week period ended June 25, 2022, revenue generated by BCO Independent Contractors, Truck Brokerage Carriers and railroads represented approximately 36%, 53% and 2%, respectively, of the Company’s consolidated revenue. Collectively, revenue generated by air and ocean cargo carriers represented approximately 8% of the Company’s consolidated revenue in the twenty-six-week period ended June 25, 2022.</w:t>
      </w:r>
    </w:p>
    <w:p>
      <w:pPr>
        <w:spacing w:after="0" w:line="197"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On May 6, 2020, the Company formed a new subsidiary that was subsequently renamed Landstar Blue, LLC (“Landstar Blue”). Landstar Blue arranges truckload brokerage services with a focus on the contract services market. Landstar Blue also helps the Company to develop and test digital technologies and processes for the benefit of all Landstar independent commission sales agents. On June 15, 2020, Landstar Blue completed the acquisition of an independent agent of the Company whose business focused on truckload brokerage services. The results of operations from Landstar Blue are presented as part of the Company’s transportation logistics segment. Revenue from Landstar Blue represented less than 1% of the Company’s transportation logistics segment revenue in the twenty-six-week period ended June 25, 2022.</w:t>
      </w:r>
    </w:p>
    <w:p>
      <w:pPr>
        <w:spacing w:after="0" w:line="187"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The insurance segment is comprised of Signature Insurance Company (“Signature”), a wholly owned offshore insurance subsidiary, and Risk Management Claim Services, Inc. The insurance segment provides risk and claims management services to certain of Landstar’s operating subsidiaries. In addition, it reinsures certain risks of the Company’s BCO Independent Contractors and provides certain property and casualty insurance directly to certain of Landstar’s operating subsidiaries. Revenue at the insurance segment represents reinsurance premiums from third party insurance companies that provide insurance programs to BCO Independent Contractors where all or a portion of the risk is ultimately borne by Signature. Revenue at the insurance segment represented approximately 1% of the Company’s consolidated revenue for the twenty-six-week period ended June 25, 2022.</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Financial Condition and Results of Operations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Management believes the Company’s success principally depends on its ability to generate freight revenue through its network of independent commission sales agents and to deliver freight safely and efficiently utilizing third party capacity providers. Management believes the most significant factors to the Company’s success include increasing revenue, sourcing capacity, empowering its network through technology-based tools and controlling costs.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While customer demand, which is subject to overall economic conditions, ultimately drives increases or decreases in revenue, the Company primarily relies on its independent commission sales agents to establish customer relationships and generate revenue opportunities. Management’s emphasis with respect to revenue growth is on revenue generated by independent commission sales agents who on an annual basis generate $1 million or more of Landstar revenue (“Million Dollar Agents”). Management believes future revenue growth is primarily dependent on its ability to increase both the revenue generated by Million Dollar Agents and the number of Million Dollar Agents through a combination of recruiting new agents, increasing the revenue opportunities generated by existing independent commission sales agents and providing its independent commission sales agents with digital technologies they may use to grow revenue and increase efficiencies at their businesses. During the 2021 fiscal year, 593 independent commission sales agents generated $1 million or more of Landstar revenue and thus qualified as Million Dollar Agents. During the 2021 fiscal year, the average revenue generated by a Million Dollar Agent was $6,150,000 and revenue generated by Million Dollar Agents in the aggregate represented 94% of consolidated revenue.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Management monitors business activity by tracking the number of loads (volume) and revenue per load by mode of transportation. Revenue per load can be influenced by many factors other than a change in price. Those factors include the average length of haul, freight type, special handling and equipment requirements, fuel costs and delivery time requirements. For shipments involving two or more modes of transportation, revenue is generally classified by the mode of transportation having the highest cost for the load. The following table summarizes this information by trailer type for truck transportation and by mode for all others:</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Twenty Six Weeks Ended</w:t>
            </w:r>
          </w:p>
        </w:tc>
        <w:tc>
          <w:tcPr>
            <w:tcW w:w="100" w:type="dxa"/>
            <w:vAlign w:val="bottom"/>
          </w:tcPr>
          <w:p>
            <w:pPr>
              <w:spacing w:after="0"/>
              <w:rPr>
                <w:sz w:val="15"/>
                <w:szCs w:val="15"/>
                <w:color w:val="auto"/>
              </w:rPr>
            </w:pPr>
          </w:p>
        </w:tc>
        <w:tc>
          <w:tcPr>
            <w:tcW w:w="21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June 25,</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71"/>
              <w:spacing w:after="0" w:line="118" w:lineRule="exact"/>
              <w:rPr>
                <w:sz w:val="20"/>
                <w:szCs w:val="20"/>
                <w:color w:val="auto"/>
              </w:rPr>
            </w:pPr>
            <w:r>
              <w:rPr>
                <w:rFonts w:ascii="Times New Roman" w:cs="Times New Roman" w:eastAsia="Times New Roman" w:hAnsi="Times New Roman"/>
                <w:sz w:val="13"/>
                <w:szCs w:val="13"/>
                <w:b w:val="1"/>
                <w:bCs w:val="1"/>
                <w:color w:val="auto"/>
              </w:rPr>
              <w:t>June 26,</w:t>
            </w: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June 25,</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71"/>
              <w:spacing w:after="0" w:line="118" w:lineRule="exact"/>
              <w:rPr>
                <w:sz w:val="20"/>
                <w:szCs w:val="20"/>
                <w:color w:val="auto"/>
              </w:rPr>
            </w:pPr>
            <w:r>
              <w:rPr>
                <w:rFonts w:ascii="Times New Roman" w:cs="Times New Roman" w:eastAsia="Times New Roman" w:hAnsi="Times New Roman"/>
                <w:sz w:val="13"/>
                <w:szCs w:val="13"/>
                <w:b w:val="1"/>
                <w:bCs w:val="1"/>
                <w:color w:val="auto"/>
              </w:rPr>
              <w:t>June 26,</w:t>
            </w:r>
          </w:p>
        </w:tc>
        <w:tc>
          <w:tcPr>
            <w:tcW w:w="200" w:type="dxa"/>
            <w:vAlign w:val="bottom"/>
          </w:tcPr>
          <w:p>
            <w:pPr>
              <w:spacing w:after="0"/>
              <w:rPr>
                <w:sz w:val="10"/>
                <w:szCs w:val="10"/>
                <w:color w:val="auto"/>
              </w:rPr>
            </w:pPr>
          </w:p>
        </w:tc>
      </w:tr>
      <w:tr>
        <w:trPr>
          <w:trHeight w:val="173"/>
        </w:trPr>
        <w:tc>
          <w:tcPr>
            <w:tcW w:w="12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7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6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r>
      <w:tr>
        <w:trPr>
          <w:trHeight w:val="176"/>
        </w:trPr>
        <w:tc>
          <w:tcPr>
            <w:tcW w:w="3100" w:type="dxa"/>
            <w:vAlign w:val="bottom"/>
            <w:tcBorders>
              <w:bottom w:val="single" w:sz="8" w:color="auto"/>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9"/>
              </w:rPr>
              <w:t>Revenue generated through (in thousands):</w:t>
            </w:r>
          </w:p>
        </w:tc>
        <w:tc>
          <w:tcPr>
            <w:tcW w:w="224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r>
      <w:tr>
        <w:trPr>
          <w:trHeight w:val="216"/>
        </w:trPr>
        <w:tc>
          <w:tcPr>
            <w:tcW w:w="53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Truck transportation</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340" w:type="dxa"/>
            <w:vAlign w:val="bottom"/>
            <w:gridSpan w:val="5"/>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Truckload: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340" w:type="dxa"/>
            <w:vAlign w:val="bottom"/>
            <w:gridSpan w:val="5"/>
          </w:tcPr>
          <w:p>
            <w:pPr>
              <w:ind w:left="1080"/>
              <w:spacing w:after="0"/>
              <w:rPr>
                <w:sz w:val="20"/>
                <w:szCs w:val="20"/>
                <w:color w:val="auto"/>
              </w:rPr>
            </w:pPr>
            <w:r>
              <w:rPr>
                <w:rFonts w:ascii="Times New Roman" w:cs="Times New Roman" w:eastAsia="Times New Roman" w:hAnsi="Times New Roman"/>
                <w:sz w:val="18"/>
                <w:szCs w:val="18"/>
                <w:color w:val="auto"/>
              </w:rPr>
              <w:t>Van equipment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2,108,143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1,583,911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1,026,938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854,509</w:t>
            </w:r>
          </w:p>
        </w:tc>
      </w:tr>
      <w:tr>
        <w:trPr>
          <w:trHeight w:val="216"/>
        </w:trPr>
        <w:tc>
          <w:tcPr>
            <w:tcW w:w="5340" w:type="dxa"/>
            <w:vAlign w:val="bottom"/>
            <w:gridSpan w:val="5"/>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Unsided/platform equipment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883,032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689,378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474,274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391,893</w:t>
            </w:r>
          </w:p>
        </w:tc>
      </w:tr>
      <w:tr>
        <w:trPr>
          <w:trHeight w:val="216"/>
        </w:trPr>
        <w:tc>
          <w:tcPr>
            <w:tcW w:w="53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Less-than-truckload</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70,651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54,732</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36,931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29,062</w:t>
            </w:r>
          </w:p>
        </w:tc>
      </w:tr>
      <w:tr>
        <w:trPr>
          <w:trHeight w:val="216"/>
        </w:trPr>
        <w:tc>
          <w:tcPr>
            <w:tcW w:w="5340" w:type="dxa"/>
            <w:vAlign w:val="bottom"/>
            <w:gridSpan w:val="5"/>
            <w:shd w:val="clear" w:color="auto" w:fill="CCEEFF"/>
          </w:tcPr>
          <w:p>
            <w:pPr>
              <w:ind w:left="720"/>
              <w:spacing w:after="0" w:line="216" w:lineRule="exact"/>
              <w:rPr>
                <w:sz w:val="20"/>
                <w:szCs w:val="20"/>
                <w:color w:val="auto"/>
              </w:rPr>
            </w:pPr>
            <w:r>
              <w:rPr>
                <w:rFonts w:ascii="Times New Roman" w:cs="Times New Roman" w:eastAsia="Times New Roman" w:hAnsi="Times New Roman"/>
                <w:sz w:val="18"/>
                <w:szCs w:val="18"/>
                <w:color w:val="auto"/>
              </w:rPr>
              <w:t xml:space="preserve">Other truck transportation </w:t>
            </w:r>
            <w:r>
              <w:rPr>
                <w:rFonts w:ascii="Times New Roman" w:cs="Times New Roman" w:eastAsia="Times New Roman" w:hAnsi="Times New Roman"/>
                <w:sz w:val="22"/>
                <w:szCs w:val="22"/>
                <w:color w:val="auto"/>
                <w:vertAlign w:val="superscript"/>
              </w:rPr>
              <w:t>(1)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436,656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309,655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209,055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168,723</w:t>
            </w:r>
          </w:p>
        </w:tc>
      </w:tr>
      <w:tr>
        <w:trPr>
          <w:trHeight w:val="223"/>
        </w:trPr>
        <w:tc>
          <w:tcPr>
            <w:tcW w:w="5340" w:type="dxa"/>
            <w:vAlign w:val="bottom"/>
            <w:gridSpan w:val="5"/>
          </w:tcPr>
          <w:p>
            <w:pPr>
              <w:ind w:left="1080"/>
              <w:spacing w:after="0"/>
              <w:rPr>
                <w:sz w:val="20"/>
                <w:szCs w:val="20"/>
                <w:color w:val="auto"/>
              </w:rPr>
            </w:pPr>
            <w:r>
              <w:rPr>
                <w:rFonts w:ascii="Times New Roman" w:cs="Times New Roman" w:eastAsia="Times New Roman" w:hAnsi="Times New Roman"/>
                <w:sz w:val="18"/>
                <w:szCs w:val="18"/>
                <w:color w:val="auto"/>
              </w:rPr>
              <w:t>Total truck transportation</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3,498,482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2,637,676</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1,747,198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1,444,187</w:t>
            </w:r>
          </w:p>
        </w:tc>
        <w:tc>
          <w:tcPr>
            <w:tcW w:w="200" w:type="dxa"/>
            <w:vAlign w:val="bottom"/>
          </w:tcPr>
          <w:p>
            <w:pPr>
              <w:spacing w:after="0"/>
              <w:rPr>
                <w:sz w:val="19"/>
                <w:szCs w:val="19"/>
                <w:color w:val="auto"/>
              </w:rPr>
            </w:pPr>
          </w:p>
        </w:tc>
      </w:tr>
      <w:tr>
        <w:trPr>
          <w:trHeight w:val="216"/>
        </w:trPr>
        <w:tc>
          <w:tcPr>
            <w:tcW w:w="53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Rail intermodal</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86,110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76,068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43,422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44,360</w:t>
            </w:r>
          </w:p>
        </w:tc>
      </w:tr>
      <w:tr>
        <w:trPr>
          <w:trHeight w:val="216"/>
        </w:trPr>
        <w:tc>
          <w:tcPr>
            <w:tcW w:w="53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Ocean and air cargo carriers</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310,904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107,840</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158,847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60,240</w:t>
            </w:r>
          </w:p>
        </w:tc>
      </w:tr>
      <w:tr>
        <w:trPr>
          <w:trHeight w:val="216"/>
        </w:trPr>
        <w:tc>
          <w:tcPr>
            <w:tcW w:w="5340" w:type="dxa"/>
            <w:vAlign w:val="bottom"/>
            <w:gridSpan w:val="5"/>
            <w:shd w:val="clear" w:color="auto" w:fill="CCEEFF"/>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2"/>
                <w:szCs w:val="22"/>
                <w:color w:val="auto"/>
                <w:vertAlign w:val="superscript"/>
              </w:rPr>
              <w:t>(2)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50,167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36,668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25,597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21,931</w:t>
            </w:r>
          </w:p>
        </w:tc>
      </w:tr>
      <w:tr>
        <w:trPr>
          <w:trHeight w:val="230"/>
        </w:trPr>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3,945,663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2,858,252</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1,975,064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1,570,718</w:t>
            </w:r>
          </w:p>
        </w:tc>
        <w:tc>
          <w:tcPr>
            <w:tcW w:w="200" w:type="dxa"/>
            <w:vAlign w:val="bottom"/>
          </w:tcPr>
          <w:p>
            <w:pPr>
              <w:spacing w:after="0"/>
              <w:rPr>
                <w:sz w:val="20"/>
                <w:szCs w:val="20"/>
                <w:color w:val="auto"/>
              </w:rPr>
            </w:pPr>
          </w:p>
        </w:tc>
      </w:tr>
      <w:tr>
        <w:trPr>
          <w:trHeight w:val="198"/>
        </w:trPr>
        <w:tc>
          <w:tcPr>
            <w:tcW w:w="5340" w:type="dxa"/>
            <w:vAlign w:val="bottom"/>
            <w:gridSpan w:val="5"/>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Revenue on loads hauled via BCO Independent Contractors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5340" w:type="dxa"/>
            <w:vAlign w:val="bottom"/>
            <w:gridSpan w:val="5"/>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included in total truck transportation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1,415,963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1,209,056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688,389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648,942</w:t>
            </w:r>
          </w:p>
        </w:tc>
      </w:tr>
      <w:tr>
        <w:trPr>
          <w:trHeight w:val="175"/>
        </w:trPr>
        <w:tc>
          <w:tcPr>
            <w:tcW w:w="53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Number of loads: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
        </w:trPr>
        <w:tc>
          <w:tcPr>
            <w:tcW w:w="12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53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Truck transportation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3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Truckload: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340" w:type="dxa"/>
            <w:vAlign w:val="bottom"/>
            <w:gridSpan w:val="5"/>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Van equipment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763,750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678,253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387,482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357,041</w:t>
            </w:r>
          </w:p>
        </w:tc>
      </w:tr>
      <w:tr>
        <w:trPr>
          <w:trHeight w:val="216"/>
        </w:trPr>
        <w:tc>
          <w:tcPr>
            <w:tcW w:w="5340" w:type="dxa"/>
            <w:vAlign w:val="bottom"/>
            <w:gridSpan w:val="5"/>
          </w:tcPr>
          <w:p>
            <w:pPr>
              <w:ind w:left="1080"/>
              <w:spacing w:after="0"/>
              <w:rPr>
                <w:sz w:val="20"/>
                <w:szCs w:val="20"/>
                <w:color w:val="auto"/>
              </w:rPr>
            </w:pPr>
            <w:r>
              <w:rPr>
                <w:rFonts w:ascii="Times New Roman" w:cs="Times New Roman" w:eastAsia="Times New Roman" w:hAnsi="Times New Roman"/>
                <w:sz w:val="18"/>
                <w:szCs w:val="18"/>
                <w:color w:val="auto"/>
              </w:rPr>
              <w:t>Unsided/platform equipment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279,345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248,262</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147,516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133,999</w:t>
            </w:r>
          </w:p>
        </w:tc>
      </w:tr>
      <w:tr>
        <w:trPr>
          <w:trHeight w:val="216"/>
        </w:trPr>
        <w:tc>
          <w:tcPr>
            <w:tcW w:w="5340" w:type="dxa"/>
            <w:vAlign w:val="bottom"/>
            <w:gridSpan w:val="5"/>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Less-than-truckload</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96,828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85,095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48,985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44,403</w:t>
            </w:r>
          </w:p>
        </w:tc>
      </w:tr>
      <w:tr>
        <w:trPr>
          <w:trHeight w:val="216"/>
        </w:trPr>
        <w:tc>
          <w:tcPr>
            <w:tcW w:w="5340" w:type="dxa"/>
            <w:vAlign w:val="bottom"/>
            <w:gridSpan w:val="5"/>
          </w:tcPr>
          <w:p>
            <w:pPr>
              <w:ind w:left="720"/>
              <w:spacing w:after="0" w:line="216" w:lineRule="exact"/>
              <w:rPr>
                <w:sz w:val="20"/>
                <w:szCs w:val="20"/>
                <w:color w:val="auto"/>
              </w:rPr>
            </w:pPr>
            <w:r>
              <w:rPr>
                <w:rFonts w:ascii="Times New Roman" w:cs="Times New Roman" w:eastAsia="Times New Roman" w:hAnsi="Times New Roman"/>
                <w:sz w:val="18"/>
                <w:szCs w:val="18"/>
                <w:color w:val="auto"/>
              </w:rPr>
              <w:t xml:space="preserve">Other truck transportation </w:t>
            </w:r>
            <w:r>
              <w:rPr>
                <w:rFonts w:ascii="Times New Roman" w:cs="Times New Roman" w:eastAsia="Times New Roman" w:hAnsi="Times New Roman"/>
                <w:sz w:val="22"/>
                <w:szCs w:val="22"/>
                <w:color w:val="auto"/>
                <w:vertAlign w:val="superscript"/>
              </w:rPr>
              <w:t>(1)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166,747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127,160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80,817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67,497</w:t>
            </w:r>
          </w:p>
        </w:tc>
      </w:tr>
      <w:tr>
        <w:trPr>
          <w:trHeight w:val="27"/>
        </w:trPr>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340" w:type="dxa"/>
            <w:vAlign w:val="bottom"/>
            <w:gridSpan w:val="5"/>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truck transportation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1,306,670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1,138,770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664,800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602,940</w:t>
            </w:r>
          </w:p>
        </w:tc>
      </w:tr>
      <w:tr>
        <w:trPr>
          <w:trHeight w:val="216"/>
        </w:trPr>
        <w:tc>
          <w:tcPr>
            <w:tcW w:w="53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Rail intermodal</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24,220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26,800</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11,590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15,100</w:t>
            </w:r>
          </w:p>
        </w:tc>
      </w:tr>
      <w:tr>
        <w:trPr>
          <w:trHeight w:val="216"/>
        </w:trPr>
        <w:tc>
          <w:tcPr>
            <w:tcW w:w="53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Ocean and air cargo carriers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22,890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19,460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11,330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10,230</w:t>
            </w:r>
          </w:p>
        </w:tc>
      </w:tr>
      <w:tr>
        <w:trPr>
          <w:trHeight w:val="223"/>
        </w:trPr>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1,353,780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1,185,030</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687,720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628,270</w:t>
            </w:r>
          </w:p>
        </w:tc>
        <w:tc>
          <w:tcPr>
            <w:tcW w:w="20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5340" w:type="dxa"/>
            <w:vAlign w:val="bottom"/>
            <w:gridSpan w:val="5"/>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Loads hauled via BCO Independent Contractors included in</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34"/>
        </w:trPr>
        <w:tc>
          <w:tcPr>
            <w:tcW w:w="5340" w:type="dxa"/>
            <w:vAlign w:val="bottom"/>
            <w:gridSpan w:val="5"/>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truck transportation</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527,830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510,150</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265,590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264,200</w:t>
            </w:r>
          </w:p>
        </w:tc>
      </w:tr>
      <w:tr>
        <w:trPr>
          <w:trHeight w:val="175"/>
        </w:trPr>
        <w:tc>
          <w:tcPr>
            <w:tcW w:w="53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Revenue per load:</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
        </w:trPr>
        <w:tc>
          <w:tcPr>
            <w:tcW w:w="12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53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Truck transportation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3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Truckload: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340" w:type="dxa"/>
            <w:vAlign w:val="bottom"/>
            <w:gridSpan w:val="5"/>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Van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2,393</w:t>
            </w:r>
          </w:p>
        </w:tc>
      </w:tr>
      <w:tr>
        <w:trPr>
          <w:trHeight w:val="216"/>
        </w:trPr>
        <w:tc>
          <w:tcPr>
            <w:tcW w:w="5340" w:type="dxa"/>
            <w:vAlign w:val="bottom"/>
            <w:gridSpan w:val="5"/>
          </w:tcPr>
          <w:p>
            <w:pPr>
              <w:ind w:left="1080"/>
              <w:spacing w:after="0"/>
              <w:rPr>
                <w:sz w:val="20"/>
                <w:szCs w:val="20"/>
                <w:color w:val="auto"/>
              </w:rPr>
            </w:pPr>
            <w:r>
              <w:rPr>
                <w:rFonts w:ascii="Times New Roman" w:cs="Times New Roman" w:eastAsia="Times New Roman" w:hAnsi="Times New Roman"/>
                <w:sz w:val="18"/>
                <w:szCs w:val="18"/>
                <w:color w:val="auto"/>
              </w:rPr>
              <w:t>Unsided/platform equipment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2,777</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2,925</w:t>
            </w:r>
          </w:p>
        </w:tc>
      </w:tr>
      <w:tr>
        <w:trPr>
          <w:trHeight w:val="216"/>
        </w:trPr>
        <w:tc>
          <w:tcPr>
            <w:tcW w:w="5340" w:type="dxa"/>
            <w:vAlign w:val="bottom"/>
            <w:gridSpan w:val="5"/>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Less-than-truckload</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655</w:t>
            </w:r>
          </w:p>
        </w:tc>
      </w:tr>
      <w:tr>
        <w:trPr>
          <w:trHeight w:val="216"/>
        </w:trPr>
        <w:tc>
          <w:tcPr>
            <w:tcW w:w="5340" w:type="dxa"/>
            <w:vAlign w:val="bottom"/>
            <w:gridSpan w:val="5"/>
          </w:tcPr>
          <w:p>
            <w:pPr>
              <w:ind w:left="720"/>
              <w:spacing w:after="0" w:line="216" w:lineRule="exact"/>
              <w:rPr>
                <w:sz w:val="20"/>
                <w:szCs w:val="20"/>
                <w:color w:val="auto"/>
              </w:rPr>
            </w:pPr>
            <w:r>
              <w:rPr>
                <w:rFonts w:ascii="Times New Roman" w:cs="Times New Roman" w:eastAsia="Times New Roman" w:hAnsi="Times New Roman"/>
                <w:sz w:val="18"/>
                <w:szCs w:val="18"/>
                <w:color w:val="auto"/>
              </w:rPr>
              <w:t xml:space="preserve">Other truck transportation </w:t>
            </w:r>
            <w:r>
              <w:rPr>
                <w:rFonts w:ascii="Times New Roman" w:cs="Times New Roman" w:eastAsia="Times New Roman" w:hAnsi="Times New Roman"/>
                <w:sz w:val="22"/>
                <w:szCs w:val="22"/>
                <w:color w:val="auto"/>
                <w:vertAlign w:val="superscript"/>
              </w:rPr>
              <w:t>(1)</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5340" w:type="dxa"/>
            <w:vAlign w:val="bottom"/>
            <w:gridSpan w:val="5"/>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truck transportation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2,316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2,395</w:t>
            </w:r>
          </w:p>
        </w:tc>
      </w:tr>
      <w:tr>
        <w:trPr>
          <w:trHeight w:val="216"/>
        </w:trPr>
        <w:tc>
          <w:tcPr>
            <w:tcW w:w="53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Rail intermodal</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2,938</w:t>
            </w:r>
          </w:p>
        </w:tc>
      </w:tr>
      <w:tr>
        <w:trPr>
          <w:trHeight w:val="216"/>
        </w:trPr>
        <w:tc>
          <w:tcPr>
            <w:tcW w:w="53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Ocean and air cargo carriers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13,583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5,542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14,020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5,889</w:t>
            </w:r>
          </w:p>
        </w:tc>
      </w:tr>
      <w:tr>
        <w:trPr>
          <w:trHeight w:val="198"/>
        </w:trPr>
        <w:tc>
          <w:tcPr>
            <w:tcW w:w="5340" w:type="dxa"/>
            <w:vAlign w:val="bottom"/>
            <w:gridSpan w:val="5"/>
          </w:tcPr>
          <w:p>
            <w:pPr>
              <w:ind w:left="360"/>
              <w:spacing w:after="0" w:line="198" w:lineRule="exact"/>
              <w:rPr>
                <w:sz w:val="20"/>
                <w:szCs w:val="20"/>
                <w:color w:val="auto"/>
              </w:rPr>
            </w:pPr>
            <w:r>
              <w:rPr>
                <w:rFonts w:ascii="Times New Roman" w:cs="Times New Roman" w:eastAsia="Times New Roman" w:hAnsi="Times New Roman"/>
                <w:sz w:val="18"/>
                <w:szCs w:val="18"/>
                <w:color w:val="auto"/>
              </w:rPr>
              <w:t>Revenue per load on loads hauled via BCO Independent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53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Contractors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2,592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2,456</w:t>
            </w:r>
          </w:p>
        </w:tc>
      </w:tr>
      <w:tr>
        <w:trPr>
          <w:trHeight w:val="196"/>
        </w:trPr>
        <w:tc>
          <w:tcPr>
            <w:tcW w:w="372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Revenue by capacity type (as a % of total revenue):</w:t>
            </w:r>
          </w:p>
        </w:tc>
        <w:tc>
          <w:tcPr>
            <w:tcW w:w="1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r>
      <w:tr>
        <w:trPr>
          <w:trHeight w:val="216"/>
        </w:trPr>
        <w:tc>
          <w:tcPr>
            <w:tcW w:w="53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Truck capacity providers: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340" w:type="dxa"/>
            <w:vAlign w:val="bottom"/>
            <w:gridSpan w:val="5"/>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BCO Independent Contractors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3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Truck Brokerage Carriers</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53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Rail intermodal</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3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Ocean and air cargo carriers</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3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bl>
    <w:p>
      <w:pPr>
        <w:spacing w:after="0" w:line="103" w:lineRule="exact"/>
        <w:rPr>
          <w:sz w:val="20"/>
          <w:szCs w:val="20"/>
          <w:color w:val="auto"/>
        </w:rPr>
      </w:pPr>
    </w:p>
    <w:p>
      <w:pPr>
        <w:ind w:left="540" w:hanging="424"/>
        <w:spacing w:after="0" w:line="239" w:lineRule="auto"/>
        <w:tabs>
          <w:tab w:leader="none" w:pos="54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Includes power-only, expedited, straight truck, cargo van, and miscellaneous other truck transportation revenue generated by the transportation logistics segment. Power-only refers to shipments where the Company furnishes a power unit and an operator but not trailing equipment, which is typically provided by the shipper or consignee.</w:t>
      </w:r>
    </w:p>
    <w:p>
      <w:pPr>
        <w:spacing w:after="0" w:line="2" w:lineRule="exact"/>
        <w:rPr>
          <w:rFonts w:ascii="Times New Roman" w:cs="Times New Roman" w:eastAsia="Times New Roman" w:hAnsi="Times New Roman"/>
          <w:sz w:val="22"/>
          <w:szCs w:val="22"/>
          <w:color w:val="auto"/>
          <w:vertAlign w:val="superscript"/>
        </w:rPr>
      </w:pPr>
    </w:p>
    <w:p>
      <w:pPr>
        <w:ind w:left="540" w:right="80" w:hanging="424"/>
        <w:spacing w:after="0" w:line="225" w:lineRule="auto"/>
        <w:tabs>
          <w:tab w:leader="none" w:pos="54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Includes primarily reinsurance premium revenue generated by the insurance segment and intra-Mexico transportation services revenue generated by Landstar Metro.</w:t>
      </w:r>
    </w:p>
    <w:p>
      <w:pPr>
        <w:sectPr>
          <w:pgSz w:w="11900" w:h="16838" w:orient="portrait"/>
          <w:cols w:equalWidth="0" w:num="1">
            <w:col w:w="11060"/>
          </w:cols>
          <w:pgMar w:left="320" w:top="482" w:right="519" w:bottom="1440" w:gutter="0" w:footer="0" w:header="0"/>
        </w:sectPr>
      </w:pPr>
    </w:p>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82" w:right="51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Purchased transportation</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Also critical to the Company’s success is its ability to secure capacity, particularly truck capacity, at rates that allow the Company to profitably transport customers’ freight. The following table summarizes the number of available truck capacity providers on the dates indicated:</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25, 2022</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26, 2021</w:t>
            </w:r>
          </w:p>
        </w:tc>
      </w:tr>
      <w:tr>
        <w:trPr>
          <w:trHeight w:val="209"/>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BCO Independent Contractors</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Truck Brokerage Carriers:</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1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Approved and active </w:t>
            </w:r>
            <w:r>
              <w:rPr>
                <w:rFonts w:ascii="Times New Roman" w:cs="Times New Roman" w:eastAsia="Times New Roman" w:hAnsi="Times New Roman"/>
                <w:sz w:val="22"/>
                <w:szCs w:val="22"/>
                <w:color w:val="auto"/>
                <w:vertAlign w:val="superscript"/>
              </w:rPr>
              <w:t>(1)</w:t>
            </w:r>
          </w:p>
        </w:tc>
        <w:tc>
          <w:tcPr>
            <w:tcW w:w="13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70,649</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53,891</w:t>
            </w:r>
          </w:p>
        </w:tc>
      </w:tr>
      <w:tr>
        <w:trPr>
          <w:trHeight w:val="223"/>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approved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29,454</w:t>
            </w:r>
          </w:p>
        </w:tc>
        <w:tc>
          <w:tcPr>
            <w:tcW w:w="5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24,098</w:t>
            </w:r>
          </w:p>
        </w:tc>
        <w:tc>
          <w:tcPr>
            <w:tcW w:w="40" w:type="dxa"/>
            <w:vAlign w:val="bottom"/>
          </w:tcPr>
          <w:p>
            <w:pPr>
              <w:spacing w:after="0"/>
              <w:rPr>
                <w:sz w:val="19"/>
                <w:szCs w:val="19"/>
                <w:color w:val="auto"/>
              </w:rPr>
            </w:pPr>
          </w:p>
        </w:tc>
      </w:tr>
      <w:tr>
        <w:trPr>
          <w:trHeight w:val="216"/>
        </w:trPr>
        <w:tc>
          <w:tcPr>
            <w:tcW w:w="6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100,103</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77,989</w:t>
            </w:r>
          </w:p>
        </w:tc>
      </w:tr>
      <w:tr>
        <w:trPr>
          <w:trHeight w:val="22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 truck capacity providers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111,126</w:t>
            </w:r>
          </w:p>
        </w:tc>
        <w:tc>
          <w:tcPr>
            <w:tcW w:w="5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88,767</w:t>
            </w:r>
          </w:p>
        </w:tc>
        <w:tc>
          <w:tcPr>
            <w:tcW w:w="4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Trucks provided by BCO Independent Contractors</w:t>
            </w:r>
          </w:p>
        </w:tc>
        <w:tc>
          <w:tcPr>
            <w:tcW w:w="13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11,887</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11,557</w:t>
            </w:r>
          </w:p>
        </w:tc>
      </w:tr>
    </w:tbl>
    <w:p>
      <w:pPr>
        <w:spacing w:after="0" w:line="85"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Active refers to Truck Brokerage Carriers who moved at least one load in the 180 days immediately preceding the fiscal quarter end.</w:t>
      </w:r>
    </w:p>
    <w:p>
      <w:pPr>
        <w:spacing w:after="0" w:line="19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Purchased transportation represents the amount a BCO Independent Contractor or other third party capacity provider is paid to haul freight. The amount of purchased transportation paid to a BCO Independent Contractor is primarily based on a contractually agreed-upon percentage of revenue generated by loads hauled by the BCO Independent Contractor. Purchased transportation paid to a Truck Brokerage Carrier is based on either a negotiated rate for each load hauled or, to a lesser extent, a contractually agreed-upon fixed rate per load. Purchased transportation paid to railroads and ocean cargo carriers is based on either a negotiated rate for each load hauled or a contractually agreed-upon fixed rate per load. Purchased transportation paid to air cargo carriers is generally based on a negotiated rate for each load hauled. Purchased transportation as a percentage of revenue for truck brokerage, rail intermodal and ocean cargo services is normally higher than that of BCO Independent Contractor and air cargo services. Purchased transportation is the largest component of costs and expenses and, on a consolidated basis, increases or decreases as a percentage of consolidated revenue in proportion to changes in the percentage of consolidated revenue generated through BCO Independent Contractors and other third party capacity providers and external revenue from the insurance segment, consisting of reinsurance premiums. Purchased transportation as a percent of revenue also increases or decreases in relation to the availability of truck brokerage capacity and with changes in the price of fuel on revenue generated from shipments hauled by Truck Brokerage Carriers. The Company passes 100% of fuel surcharges billed to customers for freight hauled by BCO Independent Contractors to its BCO Independent Contractors. These fuel surcharges are excluded from revenue and the cost of purchased transportation. Purchased transportation costs are recognized over the freight transit period as the performance obligation to the customer is completed.</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Commissions to agents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Commissions to agents are based on contractually agreed-upon percentages of (i) revenue, (ii) revenue less the cost of purchased transportation, or</w:t>
      </w:r>
    </w:p>
    <w:p>
      <w:pPr>
        <w:spacing w:after="0" w:line="39" w:lineRule="exact"/>
        <w:rPr>
          <w:sz w:val="20"/>
          <w:szCs w:val="20"/>
          <w:color w:val="auto"/>
        </w:rPr>
      </w:pPr>
    </w:p>
    <w:p>
      <w:pPr>
        <w:ind w:left="440" w:hanging="324"/>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less a contractually agreed upon percentage of revenue retained by Landstar and the cost of purchased transportation (the “retention</w:t>
      </w:r>
    </w:p>
    <w:p>
      <w:pPr>
        <w:spacing w:after="0" w:line="9" w:lineRule="exact"/>
        <w:rPr>
          <w:rFonts w:ascii="Times New Roman" w:cs="Times New Roman" w:eastAsia="Times New Roman" w:hAnsi="Times New Roman"/>
          <w:sz w:val="18"/>
          <w:szCs w:val="18"/>
          <w:color w:val="auto"/>
        </w:rPr>
      </w:pPr>
    </w:p>
    <w:p>
      <w:pPr>
        <w:jc w:val="both"/>
        <w:ind w:left="120" w:right="2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contracts”). Commissions to agents as a percentage of consolidated revenue vary directly with fluctuations in the percentage of consolidated revenue generated by the various modes of transportation and reinsurance premiums and, in general, vary inversely with changes in the amount of purchased transportation as a percentage of revenue on services provided by Truck Brokerage Carriers, railroads, air cargo carriers and ocean cargo carriers.</w:t>
      </w: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to agents are recognized over the freight transit period as the performance obligation to the customer is completed.</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operating costs, net of gains on asset sales/dispositions</w:t>
      </w:r>
    </w:p>
    <w:p>
      <w:pPr>
        <w:spacing w:after="0" w:line="11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Maintenance costs for Company-provided trailing equipment and BCO Independent Contractor recruiting and qualification costs are the largest components of other operating costs. Also included in other operating costs are trailer rental costs, the provision for uncollectible advances and other receivables due from BCO Independent Contractors and independent commission sales agents and gains/losses, if any, on sales of Company-owned trailing equipment.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82"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Insurance and claims</w:t>
      </w:r>
    </w:p>
    <w:p>
      <w:pPr>
        <w:spacing w:after="0" w:line="11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With respect to insurance and claims cost, potential liability associated with accidents in the trucking industry is severe and occurrences are unpredictable.</w:t>
      </w:r>
    </w:p>
    <w:p>
      <w:pPr>
        <w:spacing w:after="0" w:line="16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For periods prior to May 1, 2019, Landstar retains liability for commercial trucking claims up to $5 million per occurrence and maintains various third party insurance arrangements for liabilities in excess of its $5 million self-insured retention. Effective May 1, 2019, the Company entered into a new three year commercial auto liability insurance arrangement for losses incurred between $5 million and $10 million (the “Initial Excess Policy”) with a third party insurance company. The Company subsequently extended the Initial Excess Policy for one additional policy year, from May 1, 2022 through April 30, 2023. For commercial trucking claims incurred on or after May 1, 2022 through April 30, 2023, the extended Initial Excess Policy provides for a limit for a single loss of $5 million, with a remaining aggregate limit of $10 million for the policy period ending April 30, 2023, and an option to increase such aggregate limit for a pre-established amount of additional premium. If aggregate losses under the Initial Excess Policy exceed the aggregate limit for the period ending April 30, 2023, and the Company did not elect to increase such aggregate limit for a pre-established amount of additional premium, the Company would retain liability of up to $10 million per occurrence, inclusive of its $5 million self-insured retention for commercial trucking claims during the remainder of the policy period ending April 30, 2023.</w:t>
      </w:r>
    </w:p>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Company also maintains third party insurance arrangements providing excess coverage for commercial trucking liabilities in excess of $10 million. These third party arrangements provide coverage on a per occurrence or aggregated basis. In recent years, there has been a significant increase in the occurrence of trials in courts throughout the United States involving catastrophic injury and fatality claims against commercial motor carriers that have resulted in verdicts in excess of $10 million. Within the transportation logistics industry, these verdicts are often referred to as “Nuclear Verdicts.” The increase in Nuclear Verdicts has had a significant impact on the cost of commercial auto liability claims throughout the United States. Due to the increasing cost of commercial auto liability claims, the availability of excess coverage has significantly decreased, and the pricing associated with such excess coverage, to the extent available, has significantly increased. With respect to the annual policy year ended April 30, 2021, as compared to the annual policy year ended April 30, 2020, the Company experienced an increase of approximately $14 million, or over 170%, in the premiums charged by third party insurance companies to the Company for excess coverage for commercial trucking liabilities in excess of $10 million. Effective May 1, 2021, with respect to the annual policy year ending April 30, 2022, as compared to the annual policy year ended April 30, 2021, the Company experienced an increase of approximately $3 million, or 19%, in the premiums charged by third party insurance companies to the Company for excess coverage for commercial trucking liabilities in excess of $10 million. Effective May 1, 2022, with respect to the annual policy year ending April 30, 2023, as compared to the annual policy year ended April 30, 2022, the Company experienced an increase of approximately $2.3 million, or 10%, in the premiums charged by third party insurance companies to the Company for excess coverage for commercial trucking liabilities in excess of $10 million.</w:t>
      </w:r>
    </w:p>
    <w:p>
      <w:pPr>
        <w:spacing w:after="0" w:line="200" w:lineRule="exact"/>
        <w:rPr>
          <w:sz w:val="20"/>
          <w:szCs w:val="20"/>
          <w:color w:val="auto"/>
        </w:rPr>
      </w:pPr>
    </w:p>
    <w:p>
      <w:pPr>
        <w:spacing w:after="0" w:line="21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Moreover, in recent years the Company has increased the level of its financial exposure to commercial trucking claims in excess of $10 million, including through the use of additional self-insurance, deductibles, aggregate loss limits, quota shares and other arrangements with third party insurance companies, based on the availability of coverage within certain excess insurance coverage layers and estimated cost differentials between proposed premiums from third party insurance companies and historical and actuarially projected losses experienced by the Company at various levels of excess insurance coverage. For example, with respect to a hypothetical claim in the amount of $35 million incurred during the annual policy year ending April 30, 2023, the Company would have an aggregate financial exposure of approximately $10 million. Furthermore, the Company’s third party insurance arrangements provide excess coverage up to an uppermost coverage layer, in excess of which the Company retains additional financial exposure. No assurances can be given that the availability of excess coverage for commercial trucking claims will not continue to deteriorate, that the pricing associated with such excess coverage, to the extent available, will not continue to increase, nor that insurance coverage from third party insurers for excess coverage of commercial trucking claims will even be available on commercially reasonable terms at certain levels. Moreover, the occurrence of a Nuclear Verdict, or the settlement of a catastrophic injury and/or fatality claim that could have otherwise resulted in a Nuclear Verdict, could have a material adverse effect on Landstar’s cost of insurance and claims and its results of operations.</w:t>
      </w:r>
    </w:p>
    <w:p>
      <w:pPr>
        <w:spacing w:after="0" w:line="19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Further, the Company retains liability of up to $1,000,000 for each general liability claim, up to $250,000 for each workers’ compensation claim and up to $250,000 for each cargo claim. In addition, under reinsurance arrangements by Signature of certain risks of the Company’s BCO Independent Contractors, the Company retains liability of up to $500,000, $1,000,000 or $2,000,000 with respect to certain occupational accident claims and up to $750,000 with respect to certain workers’ compensation claims. The Company’s exposure to liability associated with accidents incurred by Truck Brokerage Carriers, railroads and air and ocean cargo carriers who transport freight on behalf of the Company is reduced by various factors including the extent to which such carriers maintain their own insurance coverage. A material increase in the frequency or severity of accidents, cargo claims or workers’ compensation claims or the material unfavorable development of existing claims could have a material adverse effect on Landstar’s cost of insurance and claims and its results of operations.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During the twenty-six-week period ended June 25, 2022, employee compensation and benefits accounted for approximately 67% of the Company’s selling, general and administrative costs. Employee compensation and benefits include wages and employee benefit costs as well as incentive compensation and stock-based compensation expense. Incentive compensation and stock-based compensation expense is highly variable in nature in comparison to wages and employee benefit costs.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and amortization primarily relate to depreciation of trailing equipment and information technology hardware and software.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Costs of revenue</w:t>
      </w:r>
    </w:p>
    <w:p>
      <w:pPr>
        <w:spacing w:after="0" w:line="119"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The Company incurs costs of revenue related to the transportation of freight and, to a much lesser extent, to reinsurance premiums received by Signature. Costs of revenue include variable costs of revenue and other costs of revenue. Variable costs of revenue include purchased transportation and commissions to agents, as these costs are entirely variable on a shipment-by-shipment basis. Other costs of revenue include fixed costs of revenue and semi-variable costs of revenue, where such costs may vary over time based on certain economic factors or operational metrics such as the number of Company-controlled trailers, the number of BCO Independent Contractors, the frequency and severity of insurance claims, the number of miles traveled by BCO Independent Contractors, or the number and/or scale of information technology projects in process or in-service to support revenue generating activities, rather than on a shipment-by-shipment basis. Other costs of revenue associated with the transportation of freight include: (i) other operating costs, primarily consisting of trailer maintenance and BCO Independent Contractor recruiting and qualification costs, as reported in the Company’s Consolidated Statements of Income, (ii) transportation-related insurance premiums paid and claim costs incurred, included as a portion of insurance and claims in the Company’s Consolidated Statements of Income, (iii) costs incurred related to internally developed software including ASC 350-40 amortization, implementation costs, hosting costs and other support costs utilized to support our independent commission sales agents, third party capacity providers, and customers, included as a portion of depreciation and amortization and of selling, general and administrative in the Company’s Consolidated Statements of Income; and (iv) depreciation on Company-owned trailing equipment, included as a portion of depreciation and amortization in the Company’s Consolidated Statements of Income. Other costs of revenue associated with reinsurance premiums received by Signature are comprised of broker commissions and other fees paid related to the administration of insurance programs to BCO Independent Contractors and are included in selling, general and administrative in the Company’s Consolidated Statements of Income. In addition to costs of revenue, the Company incurs various other costs relating to its business, including most selling, general and administrative costs and portions of costs attributable to insurance and claims and depreciation and amortization. Management continually monitors all components of the costs incurred by the Company and establishes annual cost budgets that, in general, are used to benchmark costs incurred on a monthly basis.</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Gross Profit, Variable Contribution, Gross Profit Margin and Variable Contribution Margin</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table sets forth calculations of gross profit, defined as revenue less costs of revenue, and gross profit margin defined as gross profit divided by revenue, for the periods indicated. The Company refers to revenue less variable costs of revenue as “variable contribution” and variable contribution divided by revenue as “variable contribution margin”. Variable contribution and variable contribution margin are each non-GAAP financial measures. The closest comparable GAAP financial measures to variable contribution and variable contribution margin are, respectively, gross profit and gross profit margin. The Company believes variable contribution and variable contribution margin are useful measures of the variable costs that we incur at a shipment-by-shipment level attributable to our transportation network of third party capacity providers and independent commission sales agents in order to provide services to our customers. The Company believes variable contribution and variable contribution margin are important performance measurements and management considers variable contribution and variable contribution margin in evaluating the Company’s financial performance and in its decision-making, such as budgeting for infrastructure, trailing equipment and selling, general and administrative costs.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reconciliations of gross profit to variable contribution and gross profit margin to variable contribution margin are each presented below:</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Twenty Six Weeks Ended</w:t>
            </w:r>
          </w:p>
        </w:tc>
        <w:tc>
          <w:tcPr>
            <w:tcW w:w="120" w:type="dxa"/>
            <w:vAlign w:val="bottom"/>
          </w:tcPr>
          <w:p>
            <w:pPr>
              <w:spacing w:after="0"/>
              <w:rPr>
                <w:sz w:val="15"/>
                <w:szCs w:val="15"/>
                <w:color w:val="auto"/>
              </w:rPr>
            </w:pPr>
          </w:p>
        </w:tc>
        <w:tc>
          <w:tcPr>
            <w:tcW w:w="226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3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25, 2022</w:t>
            </w:r>
          </w:p>
        </w:tc>
        <w:tc>
          <w:tcPr>
            <w:tcW w:w="8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26, 2021</w:t>
            </w:r>
          </w:p>
        </w:tc>
        <w:tc>
          <w:tcPr>
            <w:tcW w:w="460" w:type="dxa"/>
            <w:vAlign w:val="bottom"/>
          </w:tcPr>
          <w:p>
            <w:pPr>
              <w:spacing w:after="0"/>
              <w:rPr>
                <w:sz w:val="12"/>
                <w:szCs w:val="12"/>
                <w:color w:val="auto"/>
              </w:rPr>
            </w:pPr>
          </w:p>
        </w:tc>
        <w:tc>
          <w:tcPr>
            <w:tcW w:w="132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June 25, 2022</w:t>
            </w:r>
          </w:p>
        </w:tc>
        <w:tc>
          <w:tcPr>
            <w:tcW w:w="8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June 26, 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3,945,663</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2,858,252</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1,975,064</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1,570,718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Costs of revenue: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Purchased transportation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3,096,018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9"/>
              </w:rPr>
              <w:t>2,226,526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9"/>
              </w:rPr>
              <w:t>1,545,688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1,228,241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Commissions to agents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311,634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221,702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161,856</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121,693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Variable costs of revenue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3,407,652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2,448,228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9"/>
              </w:rPr>
              <w:t>1,707,544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1,349,934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Trailing equipment depreciation</w:t>
            </w: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18,363</w:t>
            </w: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17,747</w:t>
            </w: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9,280</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Information technology costs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9,039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6,084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4,993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Insurance-related costs (1)</w:t>
            </w: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66,441</w:t>
            </w: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47,673</w:t>
            </w: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34,786</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operating costs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21,522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16,545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10,381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costs of revenue</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115,365</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88,049</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59,440</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45,940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costs of revenue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3,523,017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9"/>
              </w:rPr>
              <w:t>2,536,277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9"/>
              </w:rPr>
              <w:t>1,766,984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1,395,874</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422,646</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321,975</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208,080</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Plus: other costs of revenue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115,365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88,049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59,440</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45,940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contribution</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538,011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410,024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267,520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220,784</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Variable contribution margin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080" w:hanging="532"/>
        <w:spacing w:after="0" w:line="253"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Insurance-related costs in the table above include (i) other costs of revenue related to the transportation of freight that are included as a portion of insurance and claims in the Company’s Consolidated Statements of Income and (ii) certain other costs of revenue related to reinsurance premiums received by Signature that are included as a portion of selling, general and administrative in the Company’s Consolidated Statements of Income. Insurance and claims costs included in other costs of revenue relating to the transportation of freight primarily consist of insurance premiums paid for commercial auto liability, general liability, cargo and other lines of coverage related to the transportation of freight and the related cost of claims incurred under those programs, and, to a lesser extent, the cost of claims incurred under insurance programs available to BCO Independent Contractors that are reinsured by Signature. Other insurance and claims costs included in costs of revenue that are included in selling, general and administrative in the Company’s Consolidated Statements of Income consist of brokerage commissions and other fees incurred by Signature relating to the administration of insurance programs available to BCO Independent Contractors that are reinsured by Signature.</w:t>
      </w:r>
    </w:p>
    <w:p>
      <w:pPr>
        <w:spacing w:after="0" w:line="194" w:lineRule="exact"/>
        <w:rPr>
          <w:sz w:val="20"/>
          <w:szCs w:val="20"/>
          <w:color w:val="auto"/>
        </w:rPr>
      </w:pPr>
    </w:p>
    <w:p>
      <w:pPr>
        <w:ind w:left="120" w:right="60" w:firstLine="440"/>
        <w:spacing w:after="0" w:line="271" w:lineRule="auto"/>
        <w:rPr>
          <w:sz w:val="20"/>
          <w:szCs w:val="20"/>
          <w:color w:val="auto"/>
        </w:rPr>
      </w:pPr>
      <w:r>
        <w:rPr>
          <w:rFonts w:ascii="Times New Roman" w:cs="Times New Roman" w:eastAsia="Times New Roman" w:hAnsi="Times New Roman"/>
          <w:sz w:val="17"/>
          <w:szCs w:val="17"/>
          <w:color w:val="auto"/>
        </w:rPr>
        <w:t>In general, variable contribution margin on revenue generated by BCO Independent Contractors represents a fixed percentage due to the nature of the contracts that pay a fixed percentage of revenue to both the BCO Independent Contractors and independent commission sales agents. For revenue generated by Truck Brokerage Carriers, variable contribution margin may be either a fixed or variable percentage, depending on the contract with each individual independent commission sales agent. Variable contribution margin on revenue generated from shipments hauled by railroads, air cargo carriers, ocean cargo carriers and Truck Brokerage Carriers, other than those under retention contracts, is variable in nature, as the Company’s contracts with independent commission sales agents provide commissions to agents at a contractually agreed upon percentage of the amount represented by revenue less purchased transportation for these types of shipments. Approximately 41% of the Company’s consolidated revenue in the twenty-six-week period ended June 25, 2022 was generated under transactions that pay a fixed percentage of revenue to the third party capacity provider and/or agents while 59% was generated under transactions that pay a variable percentage of revenue to the third party capacity provider and/or agents.</w:t>
      </w:r>
    </w:p>
    <w:p>
      <w:pPr>
        <w:spacing w:after="0" w:line="2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Operating income as a percentage of gross profit and operating income as a percentage of variable contribution</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presents operating income as a percentage of gross profit and operating income as a percentage of variable contribution. The Company’s operating income as a percentage of variable contribution is a non-GAAP financial measure calculated as operating income divided by variable contribution. The Company believes that operating income as a percentage of variable contribution is useful and meaningful to investors for the following principal reasons: (i) the variable costs of revenue for a significant portion of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business are highly influenced by short-term market-based trends in the freight transportation industry, whereas other costs, including other costs of revenue, are much less impacted by short-term freight market trends; (ii) disclosure of this measure allows investors to better understand the underlying trends in the Company’s results of operations; (iii) this measure is meaningful to investors’ evaluations of the Company’s management of costs attributable to operations other than the purely variable costs associated with purchased transportation and commissions to agents that the Company incurs to provide services to our customers; and (iv) management considers this financial information in its decision-making, such as budgeting for infrastructure, trailing equipment and selling, general and administrative costs.</w:t>
      </w: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2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Twenty Six Weeks Ended</w:t>
            </w:r>
          </w:p>
        </w:tc>
        <w:tc>
          <w:tcPr>
            <w:tcW w:w="216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4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Borders>
              <w:top w:val="single" w:sz="8" w:color="auto"/>
            </w:tcBorders>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June 25,</w:t>
            </w:r>
          </w:p>
        </w:tc>
        <w:tc>
          <w:tcPr>
            <w:tcW w:w="720" w:type="dxa"/>
            <w:vAlign w:val="bottom"/>
            <w:tcBorders>
              <w:top w:val="single" w:sz="8" w:color="auto"/>
            </w:tcBorders>
          </w:tcPr>
          <w:p>
            <w:pPr>
              <w:jc w:val="right"/>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June 26,</w:t>
            </w:r>
          </w:p>
        </w:tc>
        <w:tc>
          <w:tcPr>
            <w:tcW w:w="500" w:type="dxa"/>
            <w:vAlign w:val="bottom"/>
          </w:tcPr>
          <w:p>
            <w:pPr>
              <w:spacing w:after="0"/>
              <w:rPr>
                <w:sz w:val="10"/>
                <w:szCs w:val="10"/>
                <w:color w:val="auto"/>
              </w:rPr>
            </w:pPr>
          </w:p>
        </w:tc>
        <w:tc>
          <w:tcPr>
            <w:tcW w:w="1200" w:type="dxa"/>
            <w:vAlign w:val="bottom"/>
            <w:tcBorders>
              <w:top w:val="single" w:sz="8" w:color="auto"/>
            </w:tcBorders>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June 25,</w:t>
            </w:r>
          </w:p>
        </w:tc>
        <w:tc>
          <w:tcPr>
            <w:tcW w:w="740" w:type="dxa"/>
            <w:vAlign w:val="bottom"/>
            <w:tcBorders>
              <w:top w:val="single" w:sz="8" w:color="auto"/>
            </w:tcBorders>
          </w:tcPr>
          <w:p>
            <w:pPr>
              <w:jc w:val="right"/>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June 26,</w:t>
            </w:r>
          </w:p>
        </w:tc>
        <w:tc>
          <w:tcPr>
            <w:tcW w:w="220" w:type="dxa"/>
            <w:vAlign w:val="bottom"/>
          </w:tcPr>
          <w:p>
            <w:pPr>
              <w:spacing w:after="0"/>
              <w:rPr>
                <w:sz w:val="10"/>
                <w:szCs w:val="10"/>
                <w:color w:val="auto"/>
              </w:rPr>
            </w:pPr>
          </w:p>
        </w:tc>
      </w:tr>
      <w:tr>
        <w:trPr>
          <w:trHeight w:val="173"/>
        </w:trPr>
        <w:tc>
          <w:tcPr>
            <w:tcW w:w="4620" w:type="dxa"/>
            <w:vAlign w:val="bottom"/>
          </w:tcPr>
          <w:p>
            <w:pPr>
              <w:spacing w:after="0"/>
              <w:rPr>
                <w:sz w:val="15"/>
                <w:szCs w:val="15"/>
                <w:color w:val="auto"/>
              </w:rPr>
            </w:pPr>
          </w:p>
        </w:tc>
        <w:tc>
          <w:tcPr>
            <w:tcW w:w="164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5"/>
                <w:szCs w:val="15"/>
                <w:color w:val="auto"/>
              </w:rPr>
            </w:pPr>
          </w:p>
        </w:tc>
        <w:tc>
          <w:tcPr>
            <w:tcW w:w="7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5"/>
                <w:szCs w:val="15"/>
                <w:color w:val="auto"/>
              </w:rPr>
            </w:pPr>
          </w:p>
        </w:tc>
        <w:tc>
          <w:tcPr>
            <w:tcW w:w="7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5"/>
                <w:szCs w:val="15"/>
                <w:color w:val="auto"/>
              </w:rPr>
            </w:pP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$ 422,646</w:t>
            </w:r>
          </w:p>
        </w:tc>
        <w:tc>
          <w:tcPr>
            <w:tcW w:w="4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$ 321,975</w:t>
            </w:r>
          </w:p>
        </w:tc>
        <w:tc>
          <w:tcPr>
            <w:tcW w:w="5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$ 208,080</w:t>
            </w:r>
          </w:p>
        </w:tc>
        <w:tc>
          <w:tcPr>
            <w:tcW w:w="4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$ 174,844</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1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$ 313,251</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7"/>
              </w:rPr>
              <w:t>$ 225,516</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7"/>
              </w:rPr>
              <w:t>$ 150,418</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$ 122,248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as % of gross profit</w:t>
            </w:r>
          </w:p>
        </w:tc>
        <w:tc>
          <w:tcPr>
            <w:tcW w:w="21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74.1%</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70.0%</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72.3%</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69.9%</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Variable contribution</w:t>
            </w:r>
          </w:p>
        </w:tc>
        <w:tc>
          <w:tcPr>
            <w:tcW w:w="21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$ 538,011</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7"/>
              </w:rPr>
              <w:t>$ 410,024</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7"/>
              </w:rPr>
              <w:t>$ 267,520</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$ 220,784</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1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$ 313,251</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7"/>
              </w:rPr>
              <w:t>$ 225,516</w:t>
            </w: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7"/>
              </w:rPr>
              <w:t>$ 150,418</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$ 122,248</w:t>
            </w: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as % of variable contribution</w:t>
            </w:r>
          </w:p>
        </w:tc>
        <w:tc>
          <w:tcPr>
            <w:tcW w:w="2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58.2%</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55.0%</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56.2%</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55.4%</w:t>
            </w:r>
          </w:p>
        </w:tc>
      </w:tr>
    </w:tbl>
    <w:p>
      <w:pPr>
        <w:spacing w:after="0" w:line="17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as a percentage of gross profit from the 2021 twenty-six-week period to the 2022 twenty-six-week period resulted from operating income increasing at a more rapid percentage rate than the increase in gross profit, as the Company was able to scale our fixed cost infrastructure, primarily certain components of selling, general and administrative costs, across a larger gross profit base.</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increase in operating income as a percentage of variable contribution from the 2021 twenty-six-week period to the 2022 twenty-six-week period resulted from operating income increasing at a more rapid percentage rate than the increase in variable contribution, as the Company was able to scale our fixed cost infrastructure, primarily certain components of selling, general and administrative costs, as well as certain components of our other costs of revenue, across a larger variable contribution base.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Also, as previously mentioned, the Company reports two operating segments: the transportation logistics segment and the insurance segment. External revenue at the insurance segment, representing reinsurance premiums, has historically been relatively consistent on an annual basis at 2% or less of consolidated revenue and generally corresponds directly with the number of trucks provided by BCO Independent Contractors. The discussion of cost line items in Management’s Discussion and Analysis of Financial Condition and Results of Operations considers the Company’s costs on a consolidated basis rather than on a segment basis. Management believes this presentation format is the most appropriate to assist users of the financial statements in understanding the Company’s business for the following reasons: (1) the insurance segment has no other operating costs; (2) discussion of insurance and claims at either segment without reference to the other may create confusion amongst investors and potential investors due to intercompany arrangements and specific deductible programs that affect comparability of financial results by segment between various fiscal periods but that have no effect on the Company from a consolidated reporting perspective; (3) selling, general and administrative costs of the insurance segment comprise less than 10% of consolidated selling, general and administrative costs and have historically been relatively consistent on a year-over-year basis; and (4) the insurance segment has no depreciation and amortization.</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TWENTY SIX WEEKS ENDED JUNE 25, 2022 COMPARED TO TWENTY SIX WEEKS ENDED JUNE 26, 2021</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Revenue for the 2022 twenty-six-week period was $3,945,663,000, an increase of $1,087,411,000, or 38%, compared to the 2021 twenty-six-week period. Transportation revenue increased $1,083,001,000, or 38%. The increase in transportation revenue was attributable to increased revenue per load of approximately 21% and an increased number of loads hauled of approximately 14% compared to the 2021 twenty-six-week period. Reinsurance premiums were $39,105,000 and $34,695,000 for the 2022 and 2021 twenty-six-week periods, respectively. The increase in revenue from reinsurance premiums was primarily attributable to an increase in the average number of trucks provided by BCO Independent Contractors and an increase in the aggregate value of equipment insured by BCO Independent Contractors under a physical damage program reinsured by Signature in the 2022 twenty-six-week period compared to the 2021 twenty-six-week period.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Truck transportation revenue generated by BCO Independent Contractors and Truck Brokerage Carriers (together, the “third party truck capacity providers”) for the 2022 twenty-six-week period was $3,498,482,000, representing 89% of total revenue, an increase of $860,806,000, or 33%, compared to the 2021 twenty-six-week period. Revenue per load on loads hauled by third party truck capacity providers increased approximately 16% compared to the 2021 twenty-six-week period, and the number of loads hauled by third party truck capacity providers increased approximately 15% in the 2022 twenty-six-week period compared to the 2021 twenty-six-week period.</w:t>
      </w:r>
    </w:p>
    <w:p>
      <w:pPr>
        <w:spacing w:after="0" w:line="183"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increase in revenue per load on loads hauled via truck was due a tight truck capacity environment experienced during the 2022 twenty-six-week period, which resulted in less readily available truck capacity as compared to the 2021 twenty-six-week period. The increase was also attributable to the impact of higher diesel fuel costs on loads hauled via Truck Brokerage Carriers and was partially offset by (i) a decrease in the number of loads hauled via heavy specialized equipment, which typically have a higher revenue per load, as a percentage of total truck loads and (ii) a decrease in length of haul during the 2022 twenty-six-week period. Revenue per load on loads hauled via van equipment increased 18%, revenue per load on loads hauled via unsided/platform equipment increased 14%, revenue per load on less-than-truckload loadings increased 13% and other truck transportation services revenue per load increased 8% as compared to the 2021 twenty-six-week period.</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increase in the number of loads hauled via truck compared to the 2021 twenty-six-week period was due to a broad-based increase in demand for the Company’s truck transportation services. Loads hauled via van equipment increased 13%, loads hauled via unsided/platform equipment increased 13%, loads hauled via less-than-truckload increased 14% and other truck transportation services load count increased 31% as compared to the 2021 twenty-six-week period.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Fuel surcharges billed to customers on revenue generated by BCO Independent Contractors are excluded from revenue. Fuel surcharges on Truck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Brokerage Carrier revenue identified separately in billings to customers and included as a component of Truck Brokerage Carrier revenue were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$94,537,000 and $45,574,000 in the 2022 and 2021 twenty-six-week periods, respectively. It should be noted that billings to many customers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Company’s truck brokerage services include a single all-in rate that does not separately identify fuel surcharges on loads hauled via Truck Brokerage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Carriers. Accordingly, the overall impact of changes in fuel prices on revenue and revenue per load on loads hauled via truck is likely to be greater than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indicated.</w:t>
      </w:r>
    </w:p>
    <w:p>
      <w:pPr>
        <w:spacing w:after="0" w:line="20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Transportation revenue generated by rail intermodal, air cargo and ocean cargo carriers (collectively, the “multimode capacity providers”) for the 2022 twenty-six-week period was $397,014,000, or 10% of total revenue, an increase of $213,106,000, or 116%, compared to the 2021 twenty-six-week period. Revenue per load on revenue generated by multimode capacity providers increased approximately 112% in the 2022 twenty-six-week period compared to the 2021 twenty-six-week period, and the number of loads hauled by multimode capacity providers increased approximately 2% over the same period. Revenue per load on loads hauled by multimode capacity providers increased for all modes, primarily due to strong U.S. and global economic recoveries coupled with the impact of global supply chain disruptions which were particularly acute with respect to international ocean and air freight. Revenue per load on loads hauled via air, ocean and rail intermodal increased 145%, 123% and 25%, respectively, during the 2022 twenty-six-week period as compared to the 2021 twenty-six-week period. Revenue per load on revenue generated by multimode capacity providers is influenced by many factors, including revenue mix among the various modes of transportation used, length of haul, complexity of freight, density of freight lanes, fuel costs and availability of capacity. The increase in the number of loads hauled by multimode capacity providers was due to a 44% increase in ocean loadings, almost entirely offset by a 26% decrease in air loadings and a 10% decrease in rail loadings. The 44% increase in ocean loadings was due to a broad-based increase in demand across many customers for the Company’s ocean services. The 26% decrease in air loadings was entirely attributable to decreased loadings at one specific customer, and the 10% decrease in rail loadings was primarily attributable to decreased loadings at one specific agency.</w:t>
      </w:r>
    </w:p>
    <w:p>
      <w:pPr>
        <w:spacing w:after="0" w:line="19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Purchased transportation was 78.5% and 77.9% of revenue in the 2022 and 2021 twenty-six-week periods, respectively. The increase in purchased transportation as a percentage of revenue was primarily due to (i) an increased percentage of revenue generated by Truck Brokerage Carriers, which typically has a higher rate of purchased transportation than revenue generated by BCO Independent Contractors and (ii) an increased percentage of revenue generated by multimode capacity providers, which typically has a higher rate of purchased transportation than third party truck capacity providers, partially offset by a lower rate of purchased transportation on revenue generated by Truck Brokerage Carriers. Commissions to agents were 7.9% and 7.8% of revenue in the 2022 and 2021 twenty-six-week periods, respectively. The increase in commissions to agents as a percentage of revenue was primarily attributable to a decreased cost of purchased transportation as a percentage of revenue on revenue generated by Truck Brokerage Carriers.</w:t>
      </w:r>
    </w:p>
    <w:p>
      <w:pPr>
        <w:spacing w:after="0" w:line="19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Investment income was $1,307,000 and $1,432,000 in the 2022 and 2021 twenty-six-week periods, respectively. The decrease in investment income was primarily attributable to a lower average investment balance held by the insurance segment in the 2022 twenty-six-week period, partially offset by higher average rates of return on investments in the 2022 twenty-six-week period.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Other operating costs increased $4,977,000 in the 2022 twenty-six-week period compared to the 2021 twenty-six-week period. The increase in other operating costs compared to the prior year was primarily due to (i) increased trailing equipment maintenance costs as a result of (x) increased labor and parts costs charged by the Company’s network of third party trailer maintenance facilities as the Company retained older trailing equipment to support current business levels; and (y) an increased average trailer fleet size during the 2022 twenty-six-week period, and (ii) an increased provision for contractor bad debt, partially offset by increased gains on the sale of operating property.</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Insurance and claims increased $19,191,000 in the 2022 twenty-six-week period compared to the 2021 twenty-six-week period. The increase in insurance and claims expense compared to the prior year was primarily due to increased severity of current year trucking claims during the 2022 twenty-six-week period, the impact of net unfavorable development of prior years’ claims in the 2022 twenty-six-week period and increased insurance premiums, primarily for commercial auto and excess liability coverage. During the 2022 and 2021 twenty-six-week periods, insurance and claims costs included $5,381,000 and $980,000 of net unfavorable adjustments to prior years’ claims estimates, respectively.</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costs increased $12,158,000 in the 2022 twenty-six-week period compared to the 2021 twenty-six-week period. The increase in selling, general and administrative costs compared to the prior year was attributable to increased wages and benefits and an increased provision for customer bad debt, partially offset by decreased stock-based compensation expense and a decreased provision for incentive compensation. Included in selling, general and administrative costs was stock-based compensation expense of $5,810,000 and $10,893,000 for the 2022 and 2021 twenty-six-week periods, respectively, and incentive compensation expense of $9,723,000 and $12,615,000 for the 2022 and 2021 twenty-six-week periods, respectively.</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$3,801,000 in the 2022 twenty-six-week period compared to the 2021 twenty-six-week period. The increase in depreciation and amortization expense was primarily due to increased depreciation on digital technology tools in connection with the deployment of new and upgraded applications for use by the Company’s network of agents, capacity providers and employees, and to a lesser extent, in connection with increased trailing equipment depreciation.</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Interest and debt expense in the 2022 twenty-six-week period increased $219,000 compared to the 2021 twenty-six-week period. The increase in interest and debt expense was entirely attributable to increased average borrowings on the Company’s revolving credit facility during the 2022 twenty-six-week period, as the Company had no borrowings under its revolving credit facility during the 2021 period. The Company had no borrowings under its revolving credit facility as of the end of the 2022 twenty-six-week period.</w:t>
      </w:r>
    </w:p>
    <w:p>
      <w:pPr>
        <w:spacing w:after="0" w:line="180"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provisions for income taxes for the 2022 and 2021 twenty-six-week periods were based on estimated annual effective income tax rates of 24.5% and 24.4%, respectively, adjusted for discrete events, such as benefits resulting from stock-based awards. The estimated annual effective income tax rate was higher than the statutory federal income tax rate of 21% in both periods primarily attributable to state taxes and nondeductible executive compensation. The effective income tax rate for the 2022 twenty-six-week period was 23.7%, which was lower than the estimated annual effective income tax rate of 24.5%, primarily attributable to excess tax benefits realized on stock-based awards. The effective income tax rate in the 2021 twenty-six-week period of 24.1% was lower than the 24.4% estimated annual effective income tax rate, primarily due to excess tax benefits realized on stock-based awards in the 2021 twenty-six-week period.</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Net income was $237,394,000, or $6.39 per diluted share, in the 2022 twenty-six-week period. Net income was $169,534,000, or $4.41 per diluted share, in the 2021 twenty-six-week period.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THIRTEEN WEEKS ENDED JUNE 25, 2022 COMPARED TO THIRTEEN WEEKS ENDED JUNE 26, 2021</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Revenue for the 2022 thirteen-week period was $1,975,064,000, an increase of $404,346,000, or 26%, compared to the 2021 thirteen-week period. Transportation revenue increased $402,161,000, or 26%. The increase in transportation revenue was attributable to increased revenue per load of approximately 15% and an increased number of loads hauled of approximately 9% compared to the 2021 thirteen-week period. Reinsurance premiums were $19,845,000 and $17,660,000 for the 2022 and 2021 thirteen-week periods, respectively. The increase in revenue from reinsurance premiums was primarily attributable to an increase in the average number of trucks provided by BCO Independent Contractors and an increase in the aggregate value of equipment insured by BCO Independent Contractors under a physical damage program reinsured by Signature in the 2022 thirteen-week period compared to the 2021 thirteen-week period.</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Truck transportation revenue generated by third party truck capacity providers for the 2022 thirteen-week period was $1,747,198,000, representing 88% of total revenue, an increase of $303,011,000, or 21%, compared to the 2021 thirteen-week period. Revenue per load on loads hauled by third party truck capacity providers increased approximately 10% compared to the 2021 thirteen-week period, and the number of loads hauled by third party truck capacity providers increased approximately 10% in the 2022 thirteen-week period compared to the 2021 thirteen-week period.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increase in revenue per load on loads hauled via truck was due a relatively tighter truck capacity environment experienced during the 2022 thirteen-week period, which resulted in less readily available truck capacity as compared to the 2021 thirteen-week period and the impact of higher diesel fuel costs on loads hauled via Truck Brokerage Carriers, partially offset by a decreased average length of haul during the 2022 thirteen-week period. Revenue per load on loads hauled via van equipment increased 11%, revenue per load on loads hauled via unsided/platform equipment increased 10%, revenue per load on less-than-truckload loadings increased 15% and other truck transportation services revenue per load increased 3% as compared to the 2021 thirteen-week period. Revenue per load on loads hauled via truck increased 15%, 8% and 7% in April, May and June, respectively, as compared to the corresponding periods in 2021.</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increase in the number of loads hauled via truck compared to the 2021 thirteen-week period was due to a broad-based increase in demand for the Company’s truck transportation services. Loads hauled via van equipment increased 9%, loads hauled via unsided/platform equipment increased 10%, loads hauled via less-than-truckload increased 10% and other truck transportation services load count increased 20% as compared to the 2021 thirteen-week period. The number of loads hauled via truck increased 13%, 11% and 8% in April, May and June, respectively, as compared to the corresponding periods in 2021.</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Fuel surcharges billed to customers on revenue generated by BCO Independent Contractors are excluded from revenue. Fuel surcharges on Truck Brokerage Carrier revenue identified separately in billings to customers and included as a component of Truck Brokerage Carrier revenue were $57,052,000 and $26,340,000 in the 2022 and 2021 thirteen-week periods, respectively.</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Transportation revenue generated by multimode capacity providers for the 2022 thirteen-week period was $202,269,000, or 10% of total revenue, an increase of $97,669,000, or 93%, compared to the 2021 thirteen-week period. Revenue per load on revenue generated by multimode capacity providers increased approximately 114% in the 2022 thirteen-week period compared to the 2021 thirteen-week period, while the number of loads hauled by multimode capacity providers decreased approximately 10% over the same period. Revenue per load on loads hauled by multimode capacity providers increased for all modes, primarily due to strong U.S. and global economic recoveries coupled with the impact of global supply chain disruptions which were particularly acute with respect to international ocean and air freight. Revenue per load on loads hauled via air, ocean and rail intermodal increased 160%, 119% and 28%, respectively, during the 2022 thirteen-week period as compared to the 2021 thirteen-week period. Revenue per load on revenue generated by multimode capacity providers is influenced by many factors, including revenue mix among the various modes of transportation used, length of haul, complexity of freight, density of freight lanes, fuel costs and availability of capacity. The decrease in the number of loads hauled by multimode capacity providers was due to a 23% decrease in rail loadings and a 21% decrease in air loadings, partially offset by a 28% increase in ocean loadings. The 23% decrease in rail loadings was broad-based across several agencies and customers, while the 21% decrease in air loadings was entirely attributable to one specific customer. The 28% increase in ocean loadings was due to a broad-based increase in demand across many customers for the Company’s ocean services.</w:t>
      </w:r>
    </w:p>
    <w:p>
      <w:pPr>
        <w:spacing w:after="0" w:line="187" w:lineRule="exact"/>
        <w:rPr>
          <w:sz w:val="20"/>
          <w:szCs w:val="20"/>
          <w:color w:val="auto"/>
        </w:rPr>
      </w:pPr>
    </w:p>
    <w:p>
      <w:pPr>
        <w:ind w:left="120" w:right="180" w:firstLine="440"/>
        <w:spacing w:after="0" w:line="269" w:lineRule="auto"/>
        <w:rPr>
          <w:sz w:val="20"/>
          <w:szCs w:val="20"/>
          <w:color w:val="auto"/>
        </w:rPr>
      </w:pPr>
      <w:r>
        <w:rPr>
          <w:rFonts w:ascii="Times New Roman" w:cs="Times New Roman" w:eastAsia="Times New Roman" w:hAnsi="Times New Roman"/>
          <w:sz w:val="17"/>
          <w:szCs w:val="17"/>
          <w:color w:val="auto"/>
        </w:rPr>
        <w:t>Purchased transportation was 78.3% and 78.2% of revenue in the 2022 and 2021 thirteen-week periods, respectively. The increase in purchased transportation as a percentage of revenue was primarily due to (i) an increased percentage of revenue generated by Truck Brokerage Carriers, which typically has a higher rate of purchased transportation than revenue generated by BCO Independent Contractors; and (ii) an increased percentage of revenue generated by multimode capacity providers, which typically has a higher rate of purchased transportation than third party truck capacity providers, partially offset by a lower rate of purchased transportation on revenue generated by Truck Brokerage Carriers. Commissions to agents were</w:t>
      </w:r>
    </w:p>
    <w:p>
      <w:pPr>
        <w:spacing w:after="0" w:line="3" w:lineRule="exact"/>
        <w:rPr>
          <w:sz w:val="20"/>
          <w:szCs w:val="20"/>
          <w:color w:val="auto"/>
        </w:rPr>
      </w:pPr>
    </w:p>
    <w:p>
      <w:pPr>
        <w:ind w:left="120" w:right="20"/>
        <w:spacing w:after="0" w:line="290" w:lineRule="auto"/>
        <w:rPr>
          <w:sz w:val="20"/>
          <w:szCs w:val="20"/>
          <w:color w:val="auto"/>
        </w:rPr>
      </w:pPr>
      <w:r>
        <w:rPr>
          <w:rFonts w:ascii="Times New Roman" w:cs="Times New Roman" w:eastAsia="Times New Roman" w:hAnsi="Times New Roman"/>
          <w:sz w:val="17"/>
          <w:szCs w:val="17"/>
          <w:color w:val="auto"/>
        </w:rPr>
        <w:t>8.2% and 7.7% of revenue in the 2022 and 2021 thirteen-week periods, respectively. The increase in commissions to agents as a percentage of revenue was primarily attributable to a decreased cost of purchased transportation as a percentage of revenue on revenue generated by Truck Brokerage Carriers.</w:t>
      </w:r>
    </w:p>
    <w:p>
      <w:pPr>
        <w:spacing w:after="0" w:line="15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Investment income was $586,000 and $748,000 in the 2022 and 2021 thirteen-week periods, respectively. The decrease in investment income was primarily attributable to a lower average investment balance held by the insurance segment in the 2022 thirteen-week period, partially offset by higher average rates of return on investments in the 2022 thirteen-week period.</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Other operating costs increased $1,478,000 in the 2022 thirteen-week period compared to the 2021 thirteen-week period. The increase in other operating costs compared to the prior year was primarily due to (i) increased trailing equipment maintenance costs as a result of (x) increased labor and parts costs as the Company retained older equipment to support current business levels, and (y) an increased average trailer fleet size during the 2022 thirteen-week period, and (ii) an increased provision for contractor bad debt, partially offset by increased gains on the sale of operating property.</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82"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Insurance and claims increased $9,928,000 in the 2022 thirteen-week period compared to the 2021 thirteen-week period. The increase in insurance and claims expense compared to the prior year was primarily due to increased severity of current year trucking claims during the 2022 thirteen-week period, primarily due to the impact of two tragic vehicular accidents during the 2022 thirteen-week period.</w:t>
      </w:r>
    </w:p>
    <w:p>
      <w:pPr>
        <w:spacing w:after="0" w:line="17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costs increased $4,853,000 in the 2022 thirteen-week period compared to the 2021 thirteen-week period. The increase in selling, general and administrative costs compared to prior year was attributable to increased wages and benefits, an increased provision for customer bad debt and approximately $2,000,000 in expense related to the return of the Company’s annual agent convention held in April 2022, partially offset by a decreased provision for incentive compensation and decreased stock-based compensation expense. Included in selling, general and administrative costs was incentive compensation expense of $4,524,000 and $8,326,000 for the 2022 and 2021 thirteen-week periods, respectively, and stock-based compensation expense of $3,815,000 and $6,864,000 for the 2022 and 2021 thirteen-week periods, respectively.</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$2,145,000 in the 2022 thirteen-week period compared to the 2021 thirteen-week period. The increase in depreciation and amortization expense was primarily due to increased depreciation on digital technology tools in connection with the deployment of new and upgraded applications for use by the Company’s network of agents, capacity providers and employees, and to a lesser extent, in connection with increased trailing equipment depreciation.</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Interest and debt expense in the 2022 thirteen-week period increased $138,000 compared to the 2021 thirteen-week period. The increase in interest and debt expense was entirely attributable to increased average borrowings on the Company’s revolving credit facility during the 2022 period, as the Company had no borrowings during the 2021 period.</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provisions for income taxes for the 2022 and 2021 thirteen-week periods were based on an estimated annual effective income tax rates of 24.5% and 24.4%, respectively, adjusted for discrete events, such as benefits resulting from stock-based awards. The estimated annual effective income tax rate was higher than the statutory federal income tax rate of 21% in both periods primarily attributable to state taxes and nondeductible executive compensation. The effective income tax rate for the 2022 thirteen-week period was 24.6%, which was higher than the estimated annual effective income tax rate of 24.5%, primarily attributable to tax shortfalls realized on stock-based awards in the 2022 period. The effective income tax rate in the 2021 thirteen-week period of 23.9% was lower than the 24.4% estimated annual effective income tax rate, primarily due to excess tax benefits recognized on stock-based compensation arrangements in the 2021 thirteen-week period.</w:t>
      </w:r>
    </w:p>
    <w:p>
      <w:pPr>
        <w:spacing w:after="0" w:line="18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Net income was $112,555,000, or $3.05 per diluted share, in the 2022 thirteen-week period. Net income was $92,294,000, or $2.40 per diluted share, in the 2021 thirteen-week period.</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CAPITAL RESOURCES AND LIQUIDITY</w:t>
      </w:r>
    </w:p>
    <w:p>
      <w:pPr>
        <w:spacing w:after="0" w:line="11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Working capital and the ratio of current assets to current liabilities were $527,380,000 and 1.5 to 1, respectively, at June 25, 2022, compared with $512,917,000 and 1.5 to 1, respectively, at December 25, 2021. Landstar has historically operated with current ratios within the range of 1.5 to 1 to 2.0 to 1. Cash provided by operating activities was $209,651,000 in the 2022 twenty-six-week period compared with $137,176,000 in the 2021 twenty-six-week period. The increase in cash flow provided by operating activities was primarily attributable to increased net income as the change in net working capital was relatively consistent in both the 2022 and 2021 twenty-six-week periods.</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declared and paid $0.50 per share, or $18,581,000 in the aggregate, in cash dividends during the twenty-six-week period ended June 25, 2022 and, during such period, also paid $75,387,000 of dividends payable which were declared during fiscal year 2021 and included in current liabilities in the consolidated balance sheet at December 25, 2021. The Company declared and paid $0.42 per share, or $16,135,000 in the aggregate, in cash dividends during the twenty-six-week period ended June 26, 2021 and, during such period, also paid $76,770,000 of dividends payable which were declared during fiscal year 2020 and included in current liabilities in the consolidated balance sheet at December 26, 2020. During the twenty-six-week period ended June 25, 2022, the Company purchased 1,396,761 shares of its common stock at a total cost of $212,632,000. During the twenty-six-week period ended June 26, 2021, the Company purchased 150,000 shares of its common stock at a total cost of $23,837,000. As of June 25, 2022, the Company may purchase in the aggregate up to 1,603,239 shares of its common stock under its authorized stock purchase program. Long-term debt, including current maturities, was $110,826,000 at June 25, 2022, $978,000 lower than at December 25, 2021.</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Shareholders’ equity was $856,870,000, or 89% of total capitalization (defined as long-term debt including current maturities plus equity), at June 25, 2022, compared to $862,010,000, or 89% of total capitalization, at December 25, 2021. The decrease in shareholders’ equity was primarily the result of purchases of shares of the Company’s common stock, dividends declared by the Company in the 2022 twenty-six-week period and taxes paid in lieu of shares issued related to stock-based compensation plans, partially offset by net income.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August 18, 2020, Landstar entered into an amended and restated credit agreement with a syndicate of banks and JPMorgan Chase Bank, N.A.,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administrative agent (the “First Amended and Restated Credit Agreement”). As previously disclosed in a Form 8-K filed with the SEC on July 8,</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2022, Landstar entered into a second amended and restated credit agreement, dated July 1, 2022, with a bank syndicate led by JPMorgan Chase Bank,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 as administrative agent (the “Second Amended and Restated Credit Agreement”) that superseded and replaced the First Amended and Restated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Credit Agreement. The Second Amended and Restated Credit Agreement which matures July 1, 2027, provides for borrowing capacity in the form of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revolving credit facility of $300,000,000, $45,000,000 of which may be utilized in the form of letters of credit. The Second Amended and Restated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Credit Agreement also includes an “accordion” feature providing for a possible increase of up to an aggregate amount of borrowing capacity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$600,000,000. The First Amended and Restated Credit Agreement, as superseded and replaced by the Second Amended and Restated Credit Agreement,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 referred to herein as the “Credit Agreement.” As of June 25, 2022, there were no borrowings outstanding under the revolving credit facility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Credit Agreement contains a number of covenants that limit, among other things, the incurrence of additional indebtedness. The Company is required to, among other things, maintain a minimum fixed charge coverage ratio, as described in the Credit Agreement, and maintain a Leverage Ratio, as defined in the Credit Agreement, below a specified maximum. The Credit Agreement provides for a restriction on cash dividends and other distributions to stockholders on the Company’s capital stock to the extent there is a default under the Credit Agreement. In addition, the Credit Agreement under certain circumstances limits the amount of such cash dividends and other distributions to stockholders to the extent that, after giving effect to any payment made to effect such cash dividend or other distribution, the Leverage Ratio would exceed 2.5 to 1 on a pro forma basis as of the end of the Company’s most recently completed fiscal quarter. The Credit Agreement provides for an event of default in the event that, among other things, a person or group acquires 35% or more of the outstanding capital stock of the Company or obtains power to elect a majority of the Company’s directors or the directors cease to consist of a majority of Continuing Directors, as defined in the Credit Agreement. None of these covenants are presently considered by management to be materially restrictive to the Company’s operations, capital resources or liquidity. The Company is currently in compliance with all of the debt covenants under the Credit Agreement.</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At June 25, 2022, the Company had no borrowings outstanding and $33,495,000 of letters of credit outstanding under the Credit Agreement. At June 25, 2022, there was $216,505,000 available for future borrowings under the Credit Agreement. In addition, the Company has $76,567,000 in letters of credit outstanding as collateral for insurance claims that are secured by investments totaling $85,074,000 at June 25, 2022. Investments, all of which are carried at fair value, include primarily investment-grade bonds and asset-backed securities having maturities of up to five years. Fair value of investments is based primarily on quoted market prices. See “Notes to Consolidated Financial Statements” included herein for further discussion on measurement of fair value of investments.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Historically, the Company has generated sufficient operating cash flow to meet its debt service requirements, fund continued growth, both organic and through acquisitions, complete or execute share purchases of its common stock under authorized share purchase programs, pay dividends and meet working capital needs. As an asset-light provider of integrated transportation management solutions, the Company’s annual capital requirements for operating property are generally for trailing equipment and information technology hardware and software. In addition, a significant portion of the trailing equipment used by the Company is provided by third party capacity providers, thereby reducing the Company’s capital requirements. During the 2022 twenty-six-week period, the Company purchased $7,467,000 of operating property and acquired $18,073,000 of trailing equipment by entering into finance leases. Landstar anticipates acquiring either by purchase or lease financing during the remainder of fiscal year 2022 approximately $59,000,000 in operating property, consisting primarily of new trailing equipment to replace older trailing equipment and information technology equipment.</w:t>
      </w:r>
    </w:p>
    <w:p>
      <w:pPr>
        <w:spacing w:after="0" w:line="18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On April 1, 2022, Landstar Investment Holdco, LLC, a newly formed Delaware LLC and wholly-owned subsidiary of Landstar System Holdings, Inc., purchased Class A units of Cavnue, LLC for approximately $4,999,000 in cash consideration. Cavnue, LLC is a privately held company focused on combining technology and road infrastructure to unlock the full potential of connected and autonomous vehicles.</w:t>
      </w:r>
    </w:p>
    <w:p>
      <w:pPr>
        <w:spacing w:after="0" w:line="176"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Management believes that cash flow from operations combined with the Company’s borrowing capacity under the Credit Agreement will be adequate to meet Landstar’s debt service requirements, fund continued growth, both internal and through acquisitions, pay dividends, complete the authorized share purchase program and meet working capital needs.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LEGAL MATTERS</w:t>
      </w:r>
    </w:p>
    <w:p>
      <w:pPr>
        <w:spacing w:after="0" w:line="11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is involved in certain claims and pending litigation arising from the normal conduct of business. Many of these claims are covered in whole or in part by insurance. Based on knowledge of the facts and, in certain cases, opinions of outside counsel, management believes that adequate provisions have been made for probable losses with respect to the resolution of all such claims and pending litigation and that the ultimate outcome, after provisions therefor, will not have a material adverse effect on the financial condition of the Company, but could have a material effect on the results of operations in a given quarter or year.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CRITICAL ACCOUNTING POLICIES AND ESTIMATES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Landstar provides for the estimated costs of self-insured claims primarily on an actuarial basis. The amount recorded for the estimated liability for claims incurred is based upon the facts and circumstances known on the applicable balance sheet date. The ultimate resolution of these claims may be for an amount greater or less than the amount estimated by management. The Company continually revises its existing claim estimates as new or revised information becomes available on the status of each claim. Historically, the Company has experienced both favorable and unfavorable development of prior years’ claims estimates. During the 2022 and 2021 twenty-six-week periods, insurance and claims costs included $5,381,000 and $980,000 of net unfavorable adjustments to prior years’ claims estimates, respectively. It is reasonably likely that the ultimate outcome of settling all outstanding claims will be more or less than the estimated claims liability at June 25, 2022.</w:t>
      </w:r>
    </w:p>
    <w:p>
      <w:pPr>
        <w:spacing w:after="0" w:line="189"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Significant variances from management’s estimates for the ultimate resolution of self-insured claims could be expected to positively or negatively affect Landstar’s earnings in a given quarter or year. However, management believes that the ultimate resolution of these items, given a range of reasonably likely outcomes, will not significantly affect the long-term financial condition of Landstar or its ability to fund its continuing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SEASONALITY</w:t>
      </w:r>
    </w:p>
    <w:p>
      <w:pPr>
        <w:spacing w:after="0" w:line="11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Landstar’s operations are subject to seasonal trends common to the trucking industry. Truckload shipments for the quarter ending in March are typically lower than for the quarters ending June, September and December.</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11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is exposed to changes in interest rates as a result of its financing activities, primarily its borrowings on its revolving credit facility, if any, and investing activities with respect to investments held by the insurance segment.</w:t>
      </w:r>
    </w:p>
    <w:p>
      <w:pPr>
        <w:spacing w:after="0" w:line="162"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On August 18, 2020, Landstar entered into the First Amended and Restated Credit Agreement with a syndicate of banks and JPMorgan Chase Bank, N.A., as administrative agent. As previously disclosed in a Form 8-K filed with the SEC on July 8, 2022, Landstar entered into the Second Amended and Restated Credit Agreement, dated July 1, 2022, with a bank syndicate led by JPMorgan Chase Bank, N.A., as administrative agent. The First Amended and Restated Credit Agreement, as superseded and replaced by the Second Amended and Restated Credit Agreement, is referred to herein as the “Credit Agreement.” The Second Amended and Restated Credit Agreement which matures July 1, 2027, provides for borrowing capacity in the form of a revolving credit facility of $300,000,000, $45,000,000 of which may be utilized in the form of letters of credit. The Second Amended and Restated Credit Agreement also includes an “accordion” feature providing for a possible increase of up to an aggregate amount of borrowing capacity of $600,000,000.</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revolving credit loans under the Credit Agreement as of June 25, 2022, at the option of Landstar, bear interest at (i) the Eurocurrency rate plus an applicable margin ranging from 1.25% to 2.00%, or (ii) an alternate base rate plus an applicable margin ranging from 0.25% to 1.00%, in each case with the applicable margin determined based upon the Company’s Leverage Ratio, as defined in the Credit Agreement, at the end of the most recent applicable fiscal quarter for which financial statements have been delivered. The revolving credit facility bears a commitment fee, payable in arrears, of 0.25% to 0.35%, based on the Company’s Leverage Ratio at the end of the most recent applicable fiscal quarter for which financial statements have been delivered. During the second quarter of 2022, the average outstanding balance under the Credit Agreement was approximately $32,747,000. As of June 25, 2022 and December 25, 2021, the Company had no borrowings outstanding under the Credit Agreement.</w:t>
      </w:r>
    </w:p>
    <w:p>
      <w:pPr>
        <w:spacing w:after="0" w:line="189"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Long-term investments, all of which are available-for-sale and are carried at fair value, include primarily investment-grade bonds and asset-backed securities having maturities of up to five years. Assuming that the long-term portion of investments remains at $121,906,000, the balance at June 25, 2022, a hypothetical increase or decrease in interest rates of 100 basis points would not have a material impact on future earnings on an annualized basis. Short-term investments consist of short-term investment-grade instruments and the current maturities of investment-grade corporate bonds and asset-backed securities. Accordingly, any future interest rate risk on these short-term investments would not be material to the Company’s operating results.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Assets and liabilities of the Company’s Canadian and Mexican operations are translated from their functional currency to U.S. dollars using exchange rates in effect at the balance sheet date and revenue and expense accounts are translated at average monthly exchange rates during the period. Adjustments resulting from the translation process are included in accumulated other comprehensive income. Transactional gains and losses arising from receivable and payable balances, including intercompany balances, in the normal course of business that are denominated in a currency other than the functional currency of the operation are recorded in the statements of income when they occur. The assets held at the Company’s Canadian and Mexican subsidiaries at June 25, 2022 were collectively, as translated to U.S. dollars, approximately 3% of total consolidated assets. Accordingly, translation gains or losses of 40% or less related to the Canadian and Mexican operations would not be material.</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17"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an evaluation was carried out, under the supervision and with the participation of the Company’s management, including the Chief Executive Officer (“CEO”) and the Chief Financial Officer (“CFO”), of the effectiveness of the Company’s disclosure controls and procedures (as defined in Rule 13a-15(e) promulgated under the Securities Exchange Act of 1934, as amended). Based on that evaluation, the CEO and CFO concluded that the Company’s disclosure controls and procedures were effective as of June 25, 2022 to provide reasonable assurance that information required to be disclosed by the Company in reports that it filed or submitted under the Securities Exchange Act of 1934, as amended, is recorded, processed, summarized and reported within the time periods specified in Securities and Exchange Commission rules and forms.</w:t>
      </w:r>
    </w:p>
    <w:p>
      <w:pPr>
        <w:spacing w:after="0" w:line="189"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second quarter of 2022, which were identified in connection with management’s evaluation required by paragraph (d) of Rules 13a-15 and 15d-15 under the Securities Exchange Act of 1934, as amended, that have materially affected, or are reasonably likely to materially affect, the Company’s internal control over financial reporting.</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designing and evaluating disclosure controls and procedures, Company management recognizes that any disclosure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 Because of the inherent limitation in any control system, no evaluation or implementation of a control system can provide complete assurance that all control issues and all possible instances of fraud have been or will be detected.</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PART II</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OTHER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Part I, Item 2, “</w:t>
      </w:r>
      <w:r>
        <w:rPr>
          <w:rFonts w:ascii="Times New Roman" w:cs="Times New Roman" w:eastAsia="Times New Roman" w:hAnsi="Times New Roman"/>
          <w:sz w:val="18"/>
          <w:szCs w:val="18"/>
          <w:i w:val="1"/>
          <w:iCs w:val="1"/>
          <w:color w:val="auto"/>
        </w:rPr>
        <w:t>Management’s Discussion and Analysis of Financial Condition and Results of Operations — Legal Matters</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1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For a discussion identifying risk factors and other important factors that could cause actual results to differ materially from those anticipated, see the discussions under Part I, Item 1A, “Risk Factors” in the Company’s Annual Report on Form 10-K for the fiscal year ended December 25, 2021, under Part II, Item 1A, “Risk Factors” in the Company’s Quarterly Report on Form 10-Q for the quarterly period ended March 26, 2022, and in “Management’s Discussion and Analysis of Financial Condition and Results of Operations” and “Notes to Consolidated Financial Statements” in this Quarterly Report on Form 10-Q.</w:t>
      </w:r>
    </w:p>
    <w:p>
      <w:pPr>
        <w:spacing w:after="0" w:line="183"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Except as set forth below and under Part II, Item 1A, “Risk Factors” in the Company’s Quarterly Report on Form 10-Q for the quarterly period ended March 26, 2022, there have been no material changes to the Risk Factors described in Part I “Item 1A. Risk Factors” in the Company’s Annual Report on Form 10-K for the fiscal year ended December 25, 2021, as filed with the SEC.</w:t>
      </w:r>
    </w:p>
    <w:p>
      <w:pPr>
        <w:spacing w:after="0" w:line="174"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Increased severity or frequency of accidents and other claims or a material unfavorable development of existing claims. </w:t>
      </w:r>
      <w:r>
        <w:rPr>
          <w:rFonts w:ascii="Times New Roman" w:cs="Times New Roman" w:eastAsia="Times New Roman" w:hAnsi="Times New Roman"/>
          <w:sz w:val="18"/>
          <w:szCs w:val="18"/>
          <w:color w:val="auto"/>
        </w:rPr>
        <w:t>As noted above in Item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 Factors Significant to the Company’s Operations — Self-Insured Claims,” potential liability associated with accidents in the trucking industry is severe and occurrences are unpredictable. For periods prior to May 1, 2019, Landstar retains liability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82"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for commercial trucking claims up to $5 million per occurrence and maintains various third party insurance arrangements for liabilities in excess of its $5 million self-insured retention. Effective May 1, 2019, the Company entered into a new three year commercial auto liability insurance arrangement for losses incurred between $5 million and $10 million (the “Initial Excess Policy”) with a third party insurance company. The Company subsequently extended the Initial Excess Policy for one additional policy year, from May 1, 2022 through April 30, 2023. For commercial trucking claims incurred on or after May 1, 2022 through April 30, 2023, the extended Initial Excess Policy provides for a limit for a single loss of $5 million, with a remaining aggregate limit of $10 million for the policy period ending April 30, 2023, and an option to increase such aggregate limit for a pre-established amount of additional premium. If aggregate losses under the Initial Excess Policy exceed the aggregate limit for the period ending April 30, 2023, and the Company did not elect to increase such aggregate limit for a pre-established amount of additional premium, The Company would retain liability of up to $10 million per occurrence, inclusive of its $5 million self-insured retention for commercial trucking claims during the remainder of the policy period ending April 30, 2023.</w:t>
      </w:r>
    </w:p>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Company also maintains third party insurance arrangements providing excess coverage for commercial trucking liabilities in excess of $10 million. These third party arrangements provide coverage on a per occurrence or aggregated basis. In recent years, there has been a significant increase in the occurrence of trials in courts throughout the United States involving catastrophic injury and fatality claims against commercial motor carriers that have resulted in verdicts in excess of $10 million. Within the transportation logistics industry, these verdicts are often referred to as “Nuclear Verdicts.” The increase in Nuclear Verdicts has had a significant impact on the cost of commercial auto liability claims throughout the United States. Due to the increasing cost of commercial auto liability claims, the availability of excess coverage has significantly decreased, and the pricing associated with such excess coverage, to the extent available, has significantly increased. With respect to the annual policy year ended April 30, 2021, as compared to the annual policy year ended April 30, 2020, the Company experienced an increase of approximately $14 million, or over 170%, in the premiums charged by third party insurance companies to the Company for excess coverage for commercial trucking liabilities in excess of $10 million. Effective May 1, 2021, with respect to the annual policy year ending April 30, 2022, as compared to the annual policy year ended April 30, 2021, the Company experienced an increase of approximately $3 million, or 19%, in the premiums charged by third party insurance companies to the Company for excess coverage for commercial trucking liabilities in excess of $10 million. Effective May 1, 2022, with respect to the annual policy year ending April 30, 2023, as compared to the annual policy year ended April 30, 2022, the Company experienced an increase of approximately $2.3 million, or 10%, in the premiums charged by third party insurance companies to the Company for excess coverage for commercial trucking liabilities in excess of $10 million.</w:t>
      </w:r>
    </w:p>
    <w:p>
      <w:pPr>
        <w:spacing w:after="0" w:line="200" w:lineRule="exact"/>
        <w:rPr>
          <w:sz w:val="20"/>
          <w:szCs w:val="20"/>
          <w:color w:val="auto"/>
        </w:rPr>
      </w:pPr>
    </w:p>
    <w:p>
      <w:pPr>
        <w:spacing w:after="0" w:line="21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Moreover, in recent years the Company has increased the level of its financial exposure to commercial trucking claims in excess of $10 million, including through the use of additional self-insurance, deductibles, aggregate loss limits, quota shares and other arrangements with third party insurance companies, based on the availability of coverage within certain excess insurance coverage layers and estimated cost differentials between proposed premiums from third party insurance companies and historical and actuarially projected losses experienced by the Company at various levels of excess insurance coverage. For example, with respect to a hypothetical claim in the amount of $35 million incurred during the annual policy year ending April 30, 2023, the Company would have an aggregate financial exposure of approximately $10 million. Furthermore, the Company’s third party insurance arrangements provide excess coverage up to an uppermost coverage layer, in excess of which the Company retains additional financial exposure. No assurances can be given that the availability of excess coverage for commercial trucking claims will not continue to deteriorate, that the pricing associated with such excess coverage, to the extent available, will not continue to increase, nor that insurance coverage from third party insurers for excess coverage of commercial trucking claims will even be available on commercially reasonable terms at certain levels. Moreover, the occurrence of a Nuclear Verdict, or the settlement of a catastrophic injury and/or fatality claim that could have otherwise resulted in a Nuclear Verdict, could have a material adverse effect on Landstar’s cost of insurance and claims and its results of operations.</w:t>
      </w:r>
    </w:p>
    <w:p>
      <w:pPr>
        <w:spacing w:after="0" w:line="19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Further, the Company retains liability of up to $1,000,000 for each general liability claim, up to $250,000 for each workers’ compensation claim and up to $250,000 for each cargo claim. In addition, under reinsurance arrangements by Signature of certain risks of the Company’s BCO Independent Contractors, the Company retains liability of up to $500,000, $1,000,000 or $2,000,000 with respect to certain occupational accident claims and up to $750,000 with respect to certain workers’ compensation claims. The Company’s exposure to liability associated with accidents incurred by Truck Brokerage Carriers, railroads and air and ocean cargo carriers who transport freight on behalf of the Company is reduced by various factors including the extent to which such carriers maintain their own insurance coverage. A material increase in the frequency or severity of accidents, cargo claims or workers’ compensation claims or the material unfavorable development of existing claims could have a material adverse effect on Landstar’s cost of insurance and claims and its results of operations.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Purchases of Equity Securities by the Company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Company’s purchase of its common stock during the period from March 27, 2022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25, 2022, the Company’s second fiscal quarter:</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Total Number of Shares</w:t>
            </w:r>
          </w:p>
        </w:tc>
        <w:tc>
          <w:tcPr>
            <w:tcW w:w="14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Maximum 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Total Number of</w:t>
            </w: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Average Price</w:t>
            </w:r>
          </w:p>
        </w:tc>
        <w:tc>
          <w:tcPr>
            <w:tcW w:w="19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Purchased as Part of</w:t>
            </w:r>
          </w:p>
        </w:tc>
        <w:tc>
          <w:tcPr>
            <w:tcW w:w="1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Shares That May Yet Be</w:t>
            </w:r>
          </w:p>
        </w:tc>
        <w:tc>
          <w:tcPr>
            <w:tcW w:w="0" w:type="dxa"/>
            <w:vAlign w:val="bottom"/>
          </w:tcPr>
          <w:p>
            <w:pPr>
              <w:spacing w:after="0"/>
              <w:rPr>
                <w:sz w:val="1"/>
                <w:szCs w:val="1"/>
                <w:color w:val="auto"/>
              </w:rPr>
            </w:pPr>
          </w:p>
        </w:tc>
      </w:tr>
      <w:tr>
        <w:trPr>
          <w:trHeight w:val="148"/>
        </w:trPr>
        <w:tc>
          <w:tcPr>
            <w:tcW w:w="3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Fiscal Period</w:t>
            </w:r>
          </w:p>
        </w:tc>
        <w:tc>
          <w:tcPr>
            <w:tcW w:w="162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9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Publicly Announced</w:t>
            </w:r>
          </w:p>
        </w:tc>
        <w:tc>
          <w:tcPr>
            <w:tcW w:w="14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Purchased Under the</w:t>
            </w:r>
          </w:p>
        </w:tc>
        <w:tc>
          <w:tcPr>
            <w:tcW w:w="0" w:type="dxa"/>
            <w:vAlign w:val="bottom"/>
          </w:tcPr>
          <w:p>
            <w:pPr>
              <w:spacing w:after="0"/>
              <w:rPr>
                <w:sz w:val="1"/>
                <w:szCs w:val="1"/>
                <w:color w:val="auto"/>
              </w:rPr>
            </w:pPr>
          </w:p>
        </w:tc>
      </w:tr>
      <w:tr>
        <w:trPr>
          <w:trHeight w:val="158"/>
        </w:trPr>
        <w:tc>
          <w:tcPr>
            <w:tcW w:w="3600" w:type="dxa"/>
            <w:vAlign w:val="bottom"/>
            <w:gridSpan w:val="3"/>
            <w:vMerge w:val="continue"/>
          </w:tcPr>
          <w:p>
            <w:pPr>
              <w:spacing w:after="0"/>
              <w:rPr>
                <w:sz w:val="13"/>
                <w:szCs w:val="13"/>
                <w:color w:val="auto"/>
              </w:rPr>
            </w:pPr>
          </w:p>
        </w:tc>
        <w:tc>
          <w:tcPr>
            <w:tcW w:w="1620" w:type="dxa"/>
            <w:vAlign w:val="bottom"/>
            <w:gridSpan w:val="2"/>
          </w:tcPr>
          <w:p>
            <w:pPr>
              <w:jc w:val="right"/>
              <w:ind w:right="600"/>
              <w:spacing w:after="0" w:line="158" w:lineRule="exact"/>
              <w:rPr>
                <w:sz w:val="20"/>
                <w:szCs w:val="20"/>
                <w:color w:val="auto"/>
              </w:rPr>
            </w:pPr>
            <w:r>
              <w:rPr>
                <w:rFonts w:ascii="Times New Roman" w:cs="Times New Roman" w:eastAsia="Times New Roman" w:hAnsi="Times New Roman"/>
                <w:sz w:val="14"/>
                <w:szCs w:val="14"/>
                <w:color w:val="auto"/>
              </w:rPr>
              <w:t>Shares Purchased</w:t>
            </w:r>
          </w:p>
        </w:tc>
        <w:tc>
          <w:tcPr>
            <w:tcW w:w="1460" w:type="dxa"/>
            <w:vAlign w:val="bottom"/>
            <w:gridSpan w:val="3"/>
          </w:tcPr>
          <w:p>
            <w:pPr>
              <w:jc w:val="right"/>
              <w:ind w:right="600"/>
              <w:spacing w:after="0" w:line="158" w:lineRule="exact"/>
              <w:rPr>
                <w:sz w:val="20"/>
                <w:szCs w:val="20"/>
                <w:color w:val="auto"/>
              </w:rPr>
            </w:pPr>
            <w:r>
              <w:rPr>
                <w:rFonts w:ascii="Times New Roman" w:cs="Times New Roman" w:eastAsia="Times New Roman" w:hAnsi="Times New Roman"/>
                <w:sz w:val="14"/>
                <w:szCs w:val="14"/>
                <w:color w:val="auto"/>
              </w:rPr>
              <w:t>Paid Per Share</w:t>
            </w:r>
          </w:p>
        </w:tc>
        <w:tc>
          <w:tcPr>
            <w:tcW w:w="1980" w:type="dxa"/>
            <w:vAlign w:val="bottom"/>
            <w:gridSpan w:val="2"/>
          </w:tcPr>
          <w:p>
            <w:pPr>
              <w:jc w:val="center"/>
              <w:ind w:right="600"/>
              <w:spacing w:after="0" w:line="158" w:lineRule="exact"/>
              <w:rPr>
                <w:sz w:val="20"/>
                <w:szCs w:val="20"/>
                <w:color w:val="auto"/>
              </w:rPr>
            </w:pPr>
            <w:r>
              <w:rPr>
                <w:rFonts w:ascii="Times New Roman" w:cs="Times New Roman" w:eastAsia="Times New Roman" w:hAnsi="Times New Roman"/>
                <w:sz w:val="14"/>
                <w:szCs w:val="14"/>
                <w:color w:val="auto"/>
              </w:rPr>
              <w:t>Programs</w:t>
            </w:r>
          </w:p>
        </w:tc>
        <w:tc>
          <w:tcPr>
            <w:tcW w:w="1460" w:type="dxa"/>
            <w:vAlign w:val="bottom"/>
            <w:gridSpan w:val="2"/>
          </w:tcPr>
          <w:p>
            <w:pPr>
              <w:jc w:val="center"/>
              <w:ind w:right="40"/>
              <w:spacing w:after="0" w:line="158" w:lineRule="exact"/>
              <w:rPr>
                <w:sz w:val="20"/>
                <w:szCs w:val="20"/>
                <w:color w:val="auto"/>
              </w:rPr>
            </w:pPr>
            <w:r>
              <w:rPr>
                <w:rFonts w:ascii="Times New Roman" w:cs="Times New Roman" w:eastAsia="Times New Roman" w:hAnsi="Times New Roman"/>
                <w:sz w:val="14"/>
                <w:szCs w:val="14"/>
                <w:color w:val="auto"/>
              </w:rPr>
              <w:t>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March 26, 2022</w:t>
            </w: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2,306,450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27, 2022 – April 23, 2022</w:t>
            </w:r>
          </w:p>
        </w:tc>
        <w:tc>
          <w:tcPr>
            <w:tcW w:w="16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2,306,450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24, 2022 – May 21, 2022</w:t>
            </w: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322,118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148.99</w:t>
            </w:r>
          </w:p>
        </w:tc>
        <w:tc>
          <w:tcPr>
            <w:tcW w:w="19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322,118</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1,984,332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22, 2022 – June 25, 2022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381,093</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145.13</w:t>
            </w:r>
          </w:p>
        </w:tc>
        <w:tc>
          <w:tcPr>
            <w:tcW w:w="600" w:type="dxa"/>
            <w:vAlign w:val="bottom"/>
          </w:tcPr>
          <w:p>
            <w:pPr>
              <w:spacing w:after="0"/>
              <w:rPr>
                <w:sz w:val="18"/>
                <w:szCs w:val="18"/>
                <w:color w:val="auto"/>
              </w:rPr>
            </w:pPr>
          </w:p>
        </w:tc>
        <w:tc>
          <w:tcPr>
            <w:tcW w:w="19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381,093</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1,603,239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703,211</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6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703,211</w:t>
            </w:r>
          </w:p>
        </w:tc>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December 9, 2019, the Landstar System, Inc. Board of Directors authorized the Company to purchase up to 1,849,068 shares of the Company’s common stock from time to time in the open market and in privately negotiated transactions. This program was completed during the 2022 second fiscal quarter. On December 7, 2021, the Landstar System, Inc. Board of Directors authorized the Company to purchase up to 1,912,824 additional shares of the Company’s common stock from time to time in the open market and in privately negotiated transactions. As of June 25, 2022, the Company had authorization to purchase in the aggregate up to 1,603,239 shares of its common stock under this program. No specific expiration date has been assigned to the December 7, 2021 authorization.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August 18, 2020, Landstar entered into the First Amended and Restated Credit Agreement with a syndicate of banks and JPMorgan Chase Bank, N.A., as administrative agent. As previously disclosed in a Form 8-K filed with the SEC on July 8, 2022, Landstar entered into the Second Amended and Restated Credit Agreement, dated July 1, 2022, with a bank syndicate led by JPMorgan Chase Bank, N.A., as administrative agent that superseded and replaced the First Amended and Restated Credit Agreement. The Credit Agreement provides for a restriction on cash dividends and other distributions to stockholders on the Company’s capital stock in the event there is a default under the Credit Agreement. In addition, the Credit Agreement, under certain circumstances, limits the amount of such cash dividends and other distributions to stockholders to the extent that, after giving effect to any payment made to effect such cash dividend or other distribution, the Leverage Ratio, as defined in the Credit Agreement, would exceed 2.5 to 1 on a pro forma basis as of the end of the Company’s most recently completed fiscal quarter.</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3. Defaults Upon Senior Securities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4. Mine Safety Disclosures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6. Exhibits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exhibits listed on the Exhibit Index are furnished as part of this quarterly report on Form 10-Q.</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80"/>
          </w:cols>
          <w:pgMar w:left="320" w:top="482"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EXHIBIT INDEX</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Registrant’s Commission File No.: 0-21238</w:t>
      </w:r>
    </w:p>
    <w:p>
      <w:pPr>
        <w:spacing w:after="0" w:line="248" w:lineRule="exact"/>
        <w:rPr>
          <w:sz w:val="20"/>
          <w:szCs w:val="20"/>
          <w:color w:val="auto"/>
        </w:rPr>
      </w:pPr>
    </w:p>
    <w:p>
      <w:pPr>
        <w:ind w:left="120"/>
        <w:spacing w:after="0"/>
        <w:tabs>
          <w:tab w:leader="none" w:pos="5860" w:val="left"/>
        </w:tabs>
        <w:rPr>
          <w:sz w:val="20"/>
          <w:szCs w:val="20"/>
          <w:color w:val="auto"/>
        </w:rPr>
      </w:pPr>
      <w:r>
        <w:rPr>
          <w:rFonts w:ascii="Times New Roman" w:cs="Times New Roman" w:eastAsia="Times New Roman" w:hAnsi="Times New Roman"/>
          <w:sz w:val="14"/>
          <w:szCs w:val="14"/>
          <w:u w:val="single" w:color="auto"/>
          <w:color w:val="auto"/>
        </w:rPr>
        <w:t>Exhibit 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15240</wp:posOffset>
            </wp:positionV>
            <wp:extent cx="62407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93" w:lineRule="exact"/>
        <w:rPr>
          <w:sz w:val="20"/>
          <w:szCs w:val="20"/>
          <w:color w:val="auto"/>
        </w:rPr>
      </w:pPr>
    </w:p>
    <w:p>
      <w:pPr>
        <w:ind w:left="1300" w:hanging="118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95"/>
              </w:rPr>
              <w:t>10.1</w:t>
            </w:r>
          </w:p>
        </w:tc>
        <w:tc>
          <w:tcPr>
            <w:tcW w:w="96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Second Amended and Restated Credit Agreement, dated as of July 1, 2022, among Landstar System Holdings, Inc., the Company, the</w:t>
              </w:r>
            </w:hyperlink>
          </w:p>
        </w:tc>
      </w:tr>
      <w:tr>
        <w:trPr>
          <w:trHeight w:val="196"/>
        </w:trPr>
        <w:tc>
          <w:tcPr>
            <w:tcW w:w="1180" w:type="dxa"/>
            <w:vAlign w:val="bottom"/>
          </w:tcPr>
          <w:p>
            <w:pPr>
              <w:spacing w:after="0"/>
              <w:rPr>
                <w:sz w:val="17"/>
                <w:szCs w:val="17"/>
                <w:color w:val="auto"/>
              </w:rPr>
            </w:pPr>
          </w:p>
        </w:tc>
        <w:tc>
          <w:tcPr>
            <w:tcW w:w="89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lenders named therein, and JPMorgan Chase Bank, N.A. as Administrative Agent (including exhibits and schedules thereto).</w:t>
              </w:r>
            </w:hyperlink>
          </w:p>
        </w:tc>
        <w:tc>
          <w:tcPr>
            <w:tcW w:w="660" w:type="dxa"/>
            <w:vAlign w:val="bottom"/>
            <w:gridSpan w:val="2"/>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91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(Incorporated by reference to Exhibit 10.1 to the Registrant’s Form 8-K filed on July 8, 2022 (Commission File No. 0-21238))</w:t>
              </w:r>
            </w:hyperlink>
          </w:p>
        </w:tc>
        <w:tc>
          <w:tcPr>
            <w:tcW w:w="540" w:type="dxa"/>
            <w:vAlign w:val="bottom"/>
          </w:tcPr>
          <w:p>
            <w:pPr>
              <w:spacing w:after="0"/>
              <w:rPr>
                <w:sz w:val="17"/>
                <w:szCs w:val="17"/>
                <w:color w:val="auto"/>
              </w:rPr>
            </w:pPr>
          </w:p>
        </w:tc>
      </w:tr>
    </w:tbl>
    <w:p>
      <w:pPr>
        <w:spacing w:after="0" w:line="117" w:lineRule="exact"/>
        <w:rPr>
          <w:sz w:val="20"/>
          <w:szCs w:val="20"/>
          <w:color w:val="auto"/>
        </w:rPr>
      </w:pPr>
    </w:p>
    <w:p>
      <w:pPr>
        <w:ind w:left="1300" w:hanging="118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 Pursuant to Section 302 of the Sarbanes-Oxley Act of 2002.</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31.1*</w:t>
            </w:r>
          </w:p>
        </w:tc>
        <w:tc>
          <w:tcPr>
            <w:tcW w:w="78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Chief Executive Officer certification, as adopted pursuant to Section 302 of the Sarbanes-Oxley Act of 2002.</w:t>
            </w:r>
          </w:p>
        </w:tc>
      </w:tr>
      <w:tr>
        <w:trPr>
          <w:trHeight w:val="304"/>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31.2*</w:t>
            </w: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Chief Financial Officer certification, as adopted pursuant to Section 302 of the Sarbanes-Oxley Act of 2002.</w:t>
            </w:r>
          </w:p>
        </w:tc>
      </w:tr>
      <w:tr>
        <w:trPr>
          <w:trHeight w:val="20"/>
        </w:trPr>
        <w:tc>
          <w:tcPr>
            <w:tcW w:w="1180" w:type="dxa"/>
            <w:vAlign w:val="bottom"/>
          </w:tcPr>
          <w:p>
            <w:pPr>
              <w:spacing w:after="0" w:line="20" w:lineRule="exact"/>
              <w:rPr>
                <w:sz w:val="1"/>
                <w:szCs w:val="1"/>
                <w:color w:val="auto"/>
              </w:rPr>
            </w:pPr>
          </w:p>
        </w:tc>
        <w:tc>
          <w:tcPr>
            <w:tcW w:w="78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300" w:hanging="118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 Pursuant to Section 906 of the Sarbanes-Oxley Act of 2002.</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Chief Executive Officer certification pursuant to 18 U.S.C. Section 1350, as adopted pursuant to Section 906 of the Sarbanes-Oxley Act</w:t>
            </w:r>
          </w:p>
        </w:tc>
      </w:tr>
      <w:tr>
        <w:trPr>
          <w:trHeight w:val="196"/>
        </w:trPr>
        <w:tc>
          <w:tcPr>
            <w:tcW w:w="1180" w:type="dxa"/>
            <w:vAlign w:val="bottom"/>
          </w:tcPr>
          <w:p>
            <w:pPr>
              <w:spacing w:after="0"/>
              <w:rPr>
                <w:sz w:val="17"/>
                <w:szCs w:val="17"/>
                <w:color w:val="auto"/>
              </w:rPr>
            </w:pPr>
          </w:p>
        </w:tc>
        <w:tc>
          <w:tcPr>
            <w:tcW w:w="9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r>
      <w:tr>
        <w:trPr>
          <w:trHeight w:val="20"/>
        </w:trPr>
        <w:tc>
          <w:tcPr>
            <w:tcW w:w="1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Chief Financial Officer certification pursuant to 18 U.S.C. Section 1350, as adopted pursuant to Section 906 of the Sarbanes-Oxley Act</w:t>
            </w:r>
          </w:p>
        </w:tc>
      </w:tr>
      <w:tr>
        <w:trPr>
          <w:trHeight w:val="196"/>
        </w:trPr>
        <w:tc>
          <w:tcPr>
            <w:tcW w:w="1180" w:type="dxa"/>
            <w:vAlign w:val="bottom"/>
          </w:tcPr>
          <w:p>
            <w:pPr>
              <w:spacing w:after="0"/>
              <w:rPr>
                <w:sz w:val="17"/>
                <w:szCs w:val="17"/>
                <w:color w:val="auto"/>
              </w:rPr>
            </w:pPr>
          </w:p>
        </w:tc>
        <w:tc>
          <w:tcPr>
            <w:tcW w:w="974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0" w:type="dxa"/>
            <w:vAlign w:val="bottom"/>
            <w:gridSpan w:val="2"/>
          </w:tcPr>
          <w:p>
            <w:pPr>
              <w:spacing w:after="0" w:line="20" w:lineRule="exact"/>
              <w:rPr>
                <w:sz w:val="1"/>
                <w:szCs w:val="1"/>
                <w:color w:val="auto"/>
              </w:rPr>
            </w:pPr>
          </w:p>
        </w:tc>
      </w:tr>
      <w:tr>
        <w:trPr>
          <w:trHeight w:val="32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180" w:type="dxa"/>
            <w:vAlign w:val="bottom"/>
          </w:tcPr>
          <w:p>
            <w:pPr>
              <w:spacing w:after="0"/>
              <w:rPr>
                <w:sz w:val="20"/>
                <w:szCs w:val="20"/>
                <w:color w:val="auto"/>
              </w:rPr>
            </w:pP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25"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82"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LANDSTAR SYSTEM, INC.</w:t>
      </w:r>
    </w:p>
    <w:p>
      <w:pPr>
        <w:spacing w:after="0" w:line="225" w:lineRule="exact"/>
        <w:rPr>
          <w:sz w:val="20"/>
          <w:szCs w:val="20"/>
          <w:color w:val="auto"/>
        </w:rPr>
      </w:pPr>
    </w:p>
    <w:p>
      <w:pPr>
        <w:ind w:left="120"/>
        <w:spacing w:after="0"/>
        <w:tabs>
          <w:tab w:leader="none" w:pos="6040" w:val="left"/>
        </w:tabs>
        <w:rPr>
          <w:sz w:val="20"/>
          <w:szCs w:val="20"/>
          <w:color w:val="auto"/>
        </w:rPr>
      </w:pPr>
      <w:r>
        <w:rPr>
          <w:rFonts w:ascii="Times New Roman" w:cs="Times New Roman" w:eastAsia="Times New Roman" w:hAnsi="Times New Roman"/>
          <w:sz w:val="18"/>
          <w:szCs w:val="18"/>
          <w:color w:val="auto"/>
        </w:rPr>
        <w:t>Date: July 29, 2022</w:t>
      </w:r>
      <w:r>
        <w:rPr>
          <w:sz w:val="20"/>
          <w:szCs w:val="20"/>
          <w:color w:val="auto"/>
        </w:rPr>
        <w:tab/>
      </w:r>
      <w:r>
        <w:rPr>
          <w:rFonts w:ascii="Times New Roman" w:cs="Times New Roman" w:eastAsia="Times New Roman" w:hAnsi="Times New Roman"/>
          <w:sz w:val="18"/>
          <w:szCs w:val="18"/>
          <w:color w:val="auto"/>
        </w:rPr>
        <w:t>/s/ James B. Gattoni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143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James B. Gattoni</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0" w:lineRule="exact"/>
        <w:rPr>
          <w:sz w:val="20"/>
          <w:szCs w:val="20"/>
          <w:color w:val="auto"/>
        </w:rPr>
      </w:pPr>
    </w:p>
    <w:p>
      <w:pPr>
        <w:ind w:left="120"/>
        <w:spacing w:after="0"/>
        <w:tabs>
          <w:tab w:leader="none" w:pos="6040" w:val="left"/>
        </w:tabs>
        <w:rPr>
          <w:sz w:val="20"/>
          <w:szCs w:val="20"/>
          <w:color w:val="auto"/>
        </w:rPr>
      </w:pPr>
      <w:r>
        <w:rPr>
          <w:rFonts w:ascii="Times New Roman" w:cs="Times New Roman" w:eastAsia="Times New Roman" w:hAnsi="Times New Roman"/>
          <w:sz w:val="18"/>
          <w:szCs w:val="18"/>
          <w:color w:val="auto"/>
        </w:rPr>
        <w:t>Date: July 29, 2022</w:t>
      </w:r>
      <w:r>
        <w:rPr>
          <w:sz w:val="20"/>
          <w:szCs w:val="20"/>
          <w:color w:val="auto"/>
        </w:rPr>
        <w:tab/>
      </w:r>
      <w:r>
        <w:rPr>
          <w:rFonts w:ascii="Times New Roman" w:cs="Times New Roman" w:eastAsia="Times New Roman" w:hAnsi="Times New Roman"/>
          <w:sz w:val="17"/>
          <w:szCs w:val="17"/>
          <w:color w:val="auto"/>
        </w:rPr>
        <w:t>/s/ James P.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143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James P. Todd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Vice President, Chief Financial Officer and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13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820"/>
          </w:cols>
          <w:pgMar w:left="320" w:top="482" w:right="75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James B. Gattoni, certify that:</w:t>
      </w:r>
    </w:p>
    <w:p>
      <w:pPr>
        <w:spacing w:after="0" w:line="131" w:lineRule="exact"/>
        <w:rPr>
          <w:sz w:val="20"/>
          <w:szCs w:val="20"/>
          <w:color w:val="auto"/>
        </w:rPr>
      </w:pPr>
    </w:p>
    <w:p>
      <w:pPr>
        <w:ind w:left="224" w:hanging="224"/>
        <w:spacing w:after="0"/>
        <w:tabs>
          <w:tab w:leader="none" w:pos="2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Landstar System, Inc.;</w:t>
      </w:r>
    </w:p>
    <w:p>
      <w:pPr>
        <w:spacing w:after="0" w:line="117" w:lineRule="exact"/>
        <w:rPr>
          <w:rFonts w:ascii="Times New Roman" w:cs="Times New Roman" w:eastAsia="Times New Roman" w:hAnsi="Times New Roman"/>
          <w:sz w:val="18"/>
          <w:szCs w:val="18"/>
          <w:color w:val="auto"/>
        </w:rPr>
      </w:pPr>
    </w:p>
    <w:p>
      <w:pPr>
        <w:ind w:left="4" w:right="60" w:hanging="4"/>
        <w:spacing w:after="0" w:line="312" w:lineRule="auto"/>
        <w:tabs>
          <w:tab w:leader="none" w:pos="18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left="4" w:right="340" w:hanging="4"/>
        <w:spacing w:after="0" w:line="282" w:lineRule="auto"/>
        <w:tabs>
          <w:tab w:leader="none" w:pos="1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4" w:right="140" w:hanging="4"/>
        <w:spacing w:after="0" w:line="266" w:lineRule="auto"/>
        <w:tabs>
          <w:tab w:leader="none" w:pos="1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4" w:right="120" w:hanging="4"/>
        <w:spacing w:after="0" w:line="266" w:lineRule="auto"/>
        <w:tabs>
          <w:tab w:leader="none" w:pos="1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4" w:right="100" w:hanging="4"/>
        <w:spacing w:after="0" w:line="266" w:lineRule="auto"/>
        <w:tabs>
          <w:tab w:leader="none" w:pos="19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 w:right="160" w:hanging="4"/>
        <w:spacing w:after="0" w:line="282" w:lineRule="auto"/>
        <w:tabs>
          <w:tab w:leader="none" w:pos="1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4" w:right="180" w:hanging="4"/>
        <w:spacing w:after="0" w:line="266" w:lineRule="auto"/>
        <w:tabs>
          <w:tab w:leader="none" w:pos="19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left="4" w:right="200" w:hanging="4"/>
        <w:spacing w:after="0" w:line="282" w:lineRule="auto"/>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4" w:right="80" w:hanging="4"/>
        <w:spacing w:after="0" w:line="282" w:lineRule="auto"/>
        <w:tabs>
          <w:tab w:leader="none" w:pos="18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 w:right="120" w:hanging="4"/>
        <w:spacing w:after="0" w:line="282" w:lineRule="auto"/>
        <w:tabs>
          <w:tab w:leader="none" w:pos="19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July 29, 2022</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James B. Gattoni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James B. Gattoni</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024"/>
          </w:cols>
          <w:pgMar w:left="436" w:top="121" w:right="4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James P. Todd, certify that:</w:t>
      </w:r>
    </w:p>
    <w:p>
      <w:pPr>
        <w:spacing w:after="0" w:line="131" w:lineRule="exact"/>
        <w:rPr>
          <w:sz w:val="20"/>
          <w:szCs w:val="20"/>
          <w:color w:val="auto"/>
        </w:rPr>
      </w:pPr>
    </w:p>
    <w:p>
      <w:pPr>
        <w:ind w:left="224" w:hanging="224"/>
        <w:spacing w:after="0"/>
        <w:tabs>
          <w:tab w:leader="none" w:pos="2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Landstar System, Inc.;</w:t>
      </w:r>
    </w:p>
    <w:p>
      <w:pPr>
        <w:spacing w:after="0" w:line="117" w:lineRule="exact"/>
        <w:rPr>
          <w:rFonts w:ascii="Times New Roman" w:cs="Times New Roman" w:eastAsia="Times New Roman" w:hAnsi="Times New Roman"/>
          <w:sz w:val="18"/>
          <w:szCs w:val="18"/>
          <w:color w:val="auto"/>
        </w:rPr>
      </w:pPr>
    </w:p>
    <w:p>
      <w:pPr>
        <w:ind w:left="4" w:right="60" w:hanging="4"/>
        <w:spacing w:after="0" w:line="312" w:lineRule="auto"/>
        <w:tabs>
          <w:tab w:leader="none" w:pos="18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left="4" w:right="340" w:hanging="4"/>
        <w:spacing w:after="0" w:line="282" w:lineRule="auto"/>
        <w:tabs>
          <w:tab w:leader="none" w:pos="1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4" w:right="140" w:hanging="4"/>
        <w:spacing w:after="0" w:line="266" w:lineRule="auto"/>
        <w:tabs>
          <w:tab w:leader="none" w:pos="1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4" w:right="120" w:hanging="4"/>
        <w:spacing w:after="0" w:line="266" w:lineRule="auto"/>
        <w:tabs>
          <w:tab w:leader="none" w:pos="18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4" w:right="100" w:hanging="4"/>
        <w:spacing w:after="0" w:line="266" w:lineRule="auto"/>
        <w:tabs>
          <w:tab w:leader="none" w:pos="19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 w:right="160" w:hanging="4"/>
        <w:spacing w:after="0" w:line="282" w:lineRule="auto"/>
        <w:tabs>
          <w:tab w:leader="none" w:pos="18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4" w:right="180" w:hanging="4"/>
        <w:spacing w:after="0" w:line="266" w:lineRule="auto"/>
        <w:tabs>
          <w:tab w:leader="none" w:pos="19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left="4" w:right="200" w:hanging="4"/>
        <w:spacing w:after="0" w:line="282" w:lineRule="auto"/>
        <w:tabs>
          <w:tab w:leader="none" w:pos="18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4" w:right="80" w:hanging="4"/>
        <w:spacing w:after="0" w:line="282" w:lineRule="auto"/>
        <w:tabs>
          <w:tab w:leader="none" w:pos="18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 w:right="120" w:hanging="4"/>
        <w:spacing w:after="0" w:line="282" w:lineRule="auto"/>
        <w:tabs>
          <w:tab w:leader="none" w:pos="19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July 29, 2022</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James P.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James P. Todd</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Vice President, Chief Financial Officer and Assistant</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1024"/>
          </w:cols>
          <w:pgMar w:left="436" w:top="121" w:right="4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Landstar System, Inc. (the “Company”) on Form 10-Q for the period ending June 25, 2022, as filed with the Securities and Exchange Commission on the date hereof (the “Report”), I, James B. Gattoni, President and Chief Executive Officer of the Company, certify pursuant to 18 U.S.C. Section 1350, as adopted pursuant to Section 906 of the Sarbanes-Oxley Act of 2002, that:</w:t>
      </w:r>
    </w:p>
    <w:p>
      <w:pPr>
        <w:spacing w:after="0" w:line="81" w:lineRule="exact"/>
        <w:rPr>
          <w:sz w:val="20"/>
          <w:szCs w:val="20"/>
          <w:color w:val="auto"/>
        </w:rPr>
      </w:pPr>
    </w:p>
    <w:p>
      <w:pPr>
        <w:ind w:left="424" w:hanging="424"/>
        <w:spacing w:after="0"/>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and Exchange Act of 1934;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July 29, 2022</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James B. Gattoni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James B. Gattoni</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024"/>
          </w:cols>
          <w:pgMar w:left="436" w:top="121" w:right="4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Landstar System, Inc. (the “Company”) on Form 10-Q for the period ending June 25, 2022, as filed with the Securities and Exchange Commission on the date hereof (the “Report”), I, James P. Todd, Vice President and Chief Financial Officer of the Company, certify pursuant to 18 U.S.C. Section 1350, as adopted pursuant to Section 906 of the Sarbanes-Oxley Act of 2002, that:</w:t>
      </w:r>
    </w:p>
    <w:p>
      <w:pPr>
        <w:spacing w:after="0" w:line="81" w:lineRule="exact"/>
        <w:rPr>
          <w:sz w:val="20"/>
          <w:szCs w:val="20"/>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and Exchange Act of 1934;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July 29, 2022</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James P.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James P. Todd</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Vice President, Chief Financial Officer and Assistant</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Secretary</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2"/>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3"/>
    </w:lvl>
  </w:abstractNum>
  <w:abstractNum w:abstractNumId="7">
    <w:nsid w:val="257130A3"/>
    <w:multiLevelType w:val="hybridMultilevel"/>
    <w:lvl w:ilvl="0">
      <w:lvlJc w:val="left"/>
      <w:lvlText w:val="(%1)"/>
      <w:numFmt w:val="decimal"/>
      <w:start w:val="4"/>
    </w:lvl>
  </w:abstractNum>
  <w:abstractNum w:abstractNumId="8">
    <w:nsid w:val="62BBD95A"/>
    <w:multiLevelType w:val="hybridMultilevel"/>
    <w:lvl w:ilvl="0">
      <w:lvlJc w:val="left"/>
      <w:lvlText w:val="(%1)"/>
      <w:numFmt w:val="decimal"/>
      <w:start w:val="5"/>
    </w:lvl>
  </w:abstractNum>
  <w:abstractNum w:abstractNumId="9">
    <w:nsid w:val="436C6125"/>
    <w:multiLevelType w:val="hybridMultilevel"/>
    <w:lvl w:ilvl="0">
      <w:lvlJc w:val="left"/>
      <w:lvlText w:val="(%1)"/>
      <w:numFmt w:val="decimal"/>
      <w:start w:val="6"/>
    </w:lvl>
  </w:abstractNum>
  <w:abstractNum w:abstractNumId="10">
    <w:nsid w:val="628C895D"/>
    <w:multiLevelType w:val="hybridMultilevel"/>
    <w:lvl w:ilvl="0">
      <w:lvlJc w:val="left"/>
      <w:lvlText w:val="(%1)"/>
      <w:numFmt w:val="decimal"/>
      <w:start w:val="7"/>
    </w:lvl>
  </w:abstractNum>
  <w:abstractNum w:abstractNumId="11">
    <w:nsid w:val="333AB105"/>
    <w:multiLevelType w:val="hybridMultilevel"/>
    <w:lvl w:ilvl="0">
      <w:lvlJc w:val="left"/>
      <w:lvlText w:val="(%1)"/>
      <w:numFmt w:val="decimal"/>
      <w:start w:val="8"/>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lowerRoman"/>
      <w:start w:val="3"/>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0"/>
    </w:lvl>
  </w:abstractNum>
  <w:abstractNum w:abstractNumId="17">
    <w:nsid w:val="8EDBDAB"/>
    <w:multiLevelType w:val="hybridMultilevel"/>
    <w:lvl w:ilvl="0">
      <w:lvlJc w:val="left"/>
      <w:lvlText w:val="(%1)"/>
      <w:numFmt w:val="decimal"/>
      <w:start w:val="31"/>
    </w:lvl>
  </w:abstractNum>
  <w:abstractNum w:abstractNumId="18">
    <w:nsid w:val="79838CB2"/>
    <w:multiLevelType w:val="hybridMultilevel"/>
    <w:lvl w:ilvl="0">
      <w:lvlJc w:val="left"/>
      <w:lvlText w:val="(%1)"/>
      <w:numFmt w:val="decimal"/>
      <w:start w:val="32"/>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decimal"/>
      <w:start w:val="5"/>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5"/>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55" Type="http://schemas.openxmlformats.org/officeDocument/2006/relationships/hyperlink" Target="http://www.sec.gov/Archives/edgar/data/853816/000119312522190069/d34441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2022-07-29T11:08:42Z</dcterms:created>
  <dcterms:modified xsi:type="dcterms:W3CDTF">2022-07-29T11:08:42Z</dcterms:modified>
</cp:coreProperties>
</file>