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25, 2021</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400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0-21238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428625</wp:posOffset>
            </wp:positionV>
            <wp:extent cx="1259840" cy="130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9840" cy="130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Landstar System,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340" w:type="dxa"/>
            <w:vAlign w:val="bottom"/>
            <w:gridSpan w:val="3"/>
          </w:tcPr>
          <w:p>
            <w:pPr>
              <w:jc w:val="center"/>
              <w:ind w:left="1136"/>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801"/>
              <w:spacing w:after="0"/>
              <w:rPr>
                <w:sz w:val="20"/>
                <w:szCs w:val="20"/>
                <w:color w:val="auto"/>
              </w:rPr>
            </w:pPr>
            <w:r>
              <w:rPr>
                <w:rFonts w:ascii="Arial" w:cs="Arial" w:eastAsia="Arial" w:hAnsi="Arial"/>
                <w:sz w:val="18"/>
                <w:szCs w:val="18"/>
                <w:b w:val="1"/>
                <w:bCs w:val="1"/>
                <w:color w:val="auto"/>
              </w:rPr>
              <w:t>06-1313069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jc w:val="center"/>
              <w:ind w:left="113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jc w:val="center"/>
              <w:ind w:right="66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40" w:type="dxa"/>
            <w:vAlign w:val="bottom"/>
            <w:gridSpan w:val="3"/>
          </w:tcPr>
          <w:p>
            <w:pPr>
              <w:jc w:val="center"/>
              <w:ind w:left="1136"/>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661"/>
              <w:spacing w:after="0"/>
              <w:rPr>
                <w:sz w:val="20"/>
                <w:szCs w:val="20"/>
                <w:color w:val="auto"/>
              </w:rPr>
            </w:pPr>
            <w:r>
              <w:rPr>
                <w:rFonts w:ascii="Arial" w:cs="Arial" w:eastAsia="Arial" w:hAnsi="Arial"/>
                <w:sz w:val="14"/>
                <w:szCs w:val="14"/>
                <w:b w:val="1"/>
                <w:bCs w:val="1"/>
                <w:color w:val="auto"/>
                <w:w w:val="94"/>
              </w:rPr>
              <w:t>Identification No.)</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4340" w:type="dxa"/>
            <w:vAlign w:val="bottom"/>
            <w:gridSpan w:val="3"/>
          </w:tcPr>
          <w:p>
            <w:pPr>
              <w:jc w:val="center"/>
              <w:ind w:left="1136"/>
              <w:spacing w:after="0"/>
              <w:rPr>
                <w:sz w:val="20"/>
                <w:szCs w:val="20"/>
                <w:color w:val="auto"/>
              </w:rPr>
            </w:pPr>
            <w:r>
              <w:rPr>
                <w:rFonts w:ascii="Arial" w:cs="Arial" w:eastAsia="Arial" w:hAnsi="Arial"/>
                <w:sz w:val="18"/>
                <w:szCs w:val="18"/>
                <w:b w:val="1"/>
                <w:bCs w:val="1"/>
                <w:color w:val="auto"/>
                <w:w w:val="91"/>
              </w:rPr>
              <w:t>13410 Sutton Park Drive South</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40" w:type="dxa"/>
            <w:vAlign w:val="bottom"/>
            <w:gridSpan w:val="3"/>
          </w:tcPr>
          <w:p>
            <w:pPr>
              <w:jc w:val="center"/>
              <w:ind w:left="1136"/>
              <w:spacing w:after="0"/>
              <w:rPr>
                <w:sz w:val="20"/>
                <w:szCs w:val="20"/>
                <w:color w:val="auto"/>
              </w:rPr>
            </w:pPr>
            <w:r>
              <w:rPr>
                <w:rFonts w:ascii="Arial" w:cs="Arial" w:eastAsia="Arial" w:hAnsi="Arial"/>
                <w:sz w:val="18"/>
                <w:szCs w:val="18"/>
                <w:b w:val="1"/>
                <w:bCs w:val="1"/>
                <w:color w:val="auto"/>
                <w:w w:val="90"/>
              </w:rPr>
              <w:t>Jacksonville, Florida</w:t>
            </w:r>
          </w:p>
        </w:tc>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ind w:right="1021"/>
              <w:spacing w:after="0"/>
              <w:rPr>
                <w:sz w:val="20"/>
                <w:szCs w:val="20"/>
                <w:color w:val="auto"/>
              </w:rPr>
            </w:pPr>
            <w:r>
              <w:rPr>
                <w:rFonts w:ascii="Arial" w:cs="Arial" w:eastAsia="Arial" w:hAnsi="Arial"/>
                <w:sz w:val="18"/>
                <w:szCs w:val="18"/>
                <w:b w:val="1"/>
                <w:bCs w:val="1"/>
                <w:color w:val="auto"/>
              </w:rPr>
              <w:t>32224</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340" w:type="dxa"/>
            <w:vAlign w:val="bottom"/>
            <w:gridSpan w:val="3"/>
          </w:tcPr>
          <w:p>
            <w:pPr>
              <w:jc w:val="center"/>
              <w:ind w:left="11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661"/>
              <w:spacing w:after="0"/>
              <w:rPr>
                <w:sz w:val="20"/>
                <w:szCs w:val="20"/>
                <w:color w:val="auto"/>
              </w:rPr>
            </w:pPr>
            <w:r>
              <w:rPr>
                <w:rFonts w:ascii="Arial" w:cs="Arial" w:eastAsia="Arial" w:hAnsi="Arial"/>
                <w:sz w:val="14"/>
                <w:szCs w:val="14"/>
                <w:b w:val="1"/>
                <w:bCs w:val="1"/>
                <w:color w:val="auto"/>
                <w:w w:val="98"/>
              </w:rPr>
              <w:t>(Zip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(904) 398-9400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760" w:type="dxa"/>
            <w:vAlign w:val="bottom"/>
            <w:gridSpan w:val="7"/>
          </w:tcPr>
          <w:p>
            <w:pPr>
              <w:jc w:val="center"/>
              <w:ind w:left="3156"/>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340" w:type="dxa"/>
            <w:vAlign w:val="bottom"/>
            <w:gridSpan w:val="3"/>
            <w:vMerge w:val="restart"/>
          </w:tcPr>
          <w:p>
            <w:pPr>
              <w:jc w:val="center"/>
              <w:ind w:right="548"/>
              <w:spacing w:after="0"/>
              <w:rPr>
                <w:sz w:val="20"/>
                <w:szCs w:val="20"/>
                <w:color w:val="auto"/>
              </w:rPr>
            </w:pPr>
            <w:r>
              <w:rPr>
                <w:rFonts w:ascii="Arial" w:cs="Arial" w:eastAsia="Arial" w:hAnsi="Arial"/>
                <w:sz w:val="14"/>
                <w:szCs w:val="14"/>
                <w:b w:val="1"/>
                <w:bCs w:val="1"/>
                <w:color w:val="auto"/>
                <w:w w:val="89"/>
              </w:rPr>
              <w:t>Title of each class</w:t>
            </w:r>
          </w:p>
        </w:tc>
        <w:tc>
          <w:tcPr>
            <w:tcW w:w="342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3"/>
              </w:rPr>
              <w:t>Trading</w:t>
            </w:r>
          </w:p>
        </w:tc>
        <w:tc>
          <w:tcPr>
            <w:tcW w:w="3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4340" w:type="dxa"/>
            <w:vAlign w:val="bottom"/>
            <w:gridSpan w:val="3"/>
            <w:vMerge w:val="continue"/>
          </w:tcPr>
          <w:p>
            <w:pPr>
              <w:spacing w:after="0"/>
              <w:rPr>
                <w:sz w:val="16"/>
                <w:szCs w:val="16"/>
                <w:color w:val="auto"/>
              </w:rPr>
            </w:pPr>
          </w:p>
        </w:tc>
        <w:tc>
          <w:tcPr>
            <w:tcW w:w="342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88"/>
              </w:rPr>
              <w:t>Symbol(s)</w:t>
            </w:r>
          </w:p>
        </w:tc>
        <w:tc>
          <w:tcPr>
            <w:tcW w:w="3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rPr>
              <w:t>LSTR</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ind w:left="1021"/>
              <w:spacing w:after="0"/>
              <w:rPr>
                <w:sz w:val="20"/>
                <w:szCs w:val="20"/>
                <w:color w:val="auto"/>
              </w:rPr>
            </w:pPr>
            <w:r>
              <w:rPr>
                <w:rFonts w:ascii="Arial" w:cs="Arial" w:eastAsia="Arial" w:hAnsi="Arial"/>
                <w:sz w:val="18"/>
                <w:szCs w:val="18"/>
                <w:b w:val="1"/>
                <w:bCs w:val="1"/>
                <w:color w:val="auto"/>
                <w:w w:val="97"/>
              </w:rPr>
              <w:t>NASDAQ</w:t>
            </w: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7760" w:type="dxa"/>
            <w:vAlign w:val="bottom"/>
            <w:gridSpan w:val="7"/>
          </w:tcPr>
          <w:p>
            <w:pPr>
              <w:jc w:val="center"/>
              <w:ind w:left="3176"/>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88"/>
              </w:rPr>
              <w:t>None</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660" w:type="dxa"/>
            <w:vAlign w:val="bottom"/>
            <w:gridSpan w:val="8"/>
          </w:tcPr>
          <w:p>
            <w:pPr>
              <w:ind w:left="440"/>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36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9660" w:type="dxa"/>
            <w:vAlign w:val="bottom"/>
            <w:gridSpan w:val="8"/>
          </w:tcPr>
          <w:p>
            <w:pPr>
              <w:ind w:left="4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13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jc w:val="both"/>
        <w:ind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24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440"/>
        <w:spacing w:after="0" w:line="196" w:lineRule="exact"/>
        <w:tabs>
          <w:tab w:leader="none" w:pos="85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was $6,102,555,000 (based on the per share closing price on June 26, 2021, the last business day of the Company’s second fiscal quarter, as reported on the NASDAQ Global Select Market). In making this calculation, the registrant has assumed, without admitting for any purpose, that all directors and executive officers of the registrant, and no other persons, are affiliates.</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number of shares of the registrant’s common stock, par value $0.01 per share (the “Common Stock”), outstanding as of the close of business on February 11, 2022 was 37,294,677.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760" w:type="dxa"/>
            <w:vAlign w:val="bottom"/>
          </w:tcPr>
          <w:p>
            <w:pPr>
              <w:ind w:left="2800"/>
              <w:spacing w:after="0"/>
              <w:rPr>
                <w:sz w:val="20"/>
                <w:szCs w:val="20"/>
                <w:color w:val="auto"/>
              </w:rPr>
            </w:pPr>
            <w:r>
              <w:rPr>
                <w:rFonts w:ascii="Arial" w:cs="Arial" w:eastAsia="Arial" w:hAnsi="Arial"/>
                <w:sz w:val="18"/>
                <w:szCs w:val="18"/>
                <w:b w:val="1"/>
                <w:bCs w:val="1"/>
                <w:color w:val="auto"/>
              </w:rPr>
              <w:t>DOCUMENTS INCORPORATED BY REFERENCE</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Portions of the following document are incorporated by reference in this Form 10-K as indicated herein:</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Document</w:t>
            </w: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Part of 10-K</w:t>
            </w:r>
          </w:p>
        </w:tc>
        <w:tc>
          <w:tcPr>
            <w:tcW w:w="0" w:type="dxa"/>
            <w:vAlign w:val="bottom"/>
          </w:tcPr>
          <w:p>
            <w:pPr>
              <w:spacing w:after="0"/>
              <w:rPr>
                <w:sz w:val="1"/>
                <w:szCs w:val="1"/>
                <w:color w:val="auto"/>
              </w:rPr>
            </w:pPr>
          </w:p>
        </w:tc>
      </w:tr>
      <w:tr>
        <w:trPr>
          <w:trHeight w:val="178"/>
        </w:trPr>
        <w:tc>
          <w:tcPr>
            <w:tcW w:w="9400" w:type="dxa"/>
            <w:vAlign w:val="bottom"/>
            <w:gridSpan w:val="2"/>
            <w:vMerge w:val="continue"/>
          </w:tcPr>
          <w:p>
            <w:pPr>
              <w:spacing w:after="0"/>
              <w:rPr>
                <w:sz w:val="15"/>
                <w:szCs w:val="15"/>
                <w:color w:val="auto"/>
              </w:rPr>
            </w:pPr>
          </w:p>
        </w:tc>
        <w:tc>
          <w:tcPr>
            <w:tcW w:w="162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5"/>
              </w:rPr>
              <w:t>Into Which Incorporated</w:t>
            </w:r>
          </w:p>
        </w:tc>
        <w:tc>
          <w:tcPr>
            <w:tcW w:w="0" w:type="dxa"/>
            <w:vAlign w:val="bottom"/>
          </w:tcPr>
          <w:p>
            <w:pPr>
              <w:spacing w:after="0"/>
              <w:rPr>
                <w:sz w:val="1"/>
                <w:szCs w:val="1"/>
                <w:color w:val="auto"/>
              </w:rPr>
            </w:pPr>
          </w:p>
        </w:tc>
      </w:tr>
      <w:tr>
        <w:trPr>
          <w:trHeight w:val="175"/>
        </w:trPr>
        <w:tc>
          <w:tcPr>
            <w:tcW w:w="6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Proxy</w:t>
            </w:r>
          </w:p>
        </w:tc>
        <w:tc>
          <w:tcPr>
            <w:tcW w:w="8760" w:type="dxa"/>
            <w:vAlign w:val="bottom"/>
          </w:tcPr>
          <w:p>
            <w:pPr>
              <w:spacing w:after="0" w:line="176" w:lineRule="exact"/>
              <w:rPr>
                <w:sz w:val="20"/>
                <w:szCs w:val="20"/>
                <w:color w:val="auto"/>
              </w:rPr>
            </w:pPr>
            <w:r>
              <w:rPr>
                <w:rFonts w:ascii="Arial" w:cs="Arial" w:eastAsia="Arial" w:hAnsi="Arial"/>
                <w:sz w:val="18"/>
                <w:szCs w:val="18"/>
                <w:color w:val="auto"/>
              </w:rPr>
              <w:t>Statement relating to Landstar System, Inc.’s Annual Meeting of Stockholders scheduled to be held on</w:t>
            </w:r>
          </w:p>
        </w:tc>
        <w:tc>
          <w:tcPr>
            <w:tcW w:w="1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May 11, 2022</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Part III</w:t>
            </w:r>
          </w:p>
        </w:tc>
        <w:tc>
          <w:tcPr>
            <w:tcW w:w="0" w:type="dxa"/>
            <w:vAlign w:val="bottom"/>
          </w:tcPr>
          <w:p>
            <w:pPr>
              <w:spacing w:after="0"/>
              <w:rPr>
                <w:sz w:val="1"/>
                <w:szCs w:val="1"/>
                <w:color w:val="auto"/>
              </w:rPr>
            </w:pPr>
          </w:p>
        </w:tc>
      </w:tr>
      <w:tr>
        <w:trPr>
          <w:trHeight w:val="230"/>
        </w:trPr>
        <w:tc>
          <w:tcPr>
            <w:tcW w:w="640" w:type="dxa"/>
            <w:vAlign w:val="bottom"/>
            <w:tcBorders>
              <w:bottom w:val="single" w:sz="8" w:color="auto"/>
            </w:tcBorders>
          </w:tcPr>
          <w:p>
            <w:pPr>
              <w:spacing w:after="0"/>
              <w:rPr>
                <w:sz w:val="19"/>
                <w:szCs w:val="19"/>
                <w:color w:val="auto"/>
              </w:rPr>
            </w:pPr>
          </w:p>
        </w:tc>
        <w:tc>
          <w:tcPr>
            <w:tcW w:w="8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640" w:type="dxa"/>
            <w:vAlign w:val="bottom"/>
            <w:tcBorders>
              <w:bottom w:val="single" w:sz="8" w:color="auto"/>
            </w:tcBorders>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80" w:type="dxa"/>
            <w:vAlign w:val="bottom"/>
            <w:gridSpan w:val="16"/>
          </w:tcPr>
          <w:p>
            <w:pPr>
              <w:jc w:val="center"/>
              <w:ind w:right="3780"/>
              <w:spacing w:after="0"/>
              <w:rPr>
                <w:sz w:val="20"/>
                <w:szCs w:val="20"/>
                <w:color w:val="auto"/>
              </w:rPr>
            </w:pPr>
            <w:r>
              <w:rPr>
                <w:rFonts w:ascii="Arial" w:cs="Arial" w:eastAsia="Arial" w:hAnsi="Arial"/>
                <w:sz w:val="18"/>
                <w:szCs w:val="18"/>
                <w:b w:val="1"/>
                <w:bCs w:val="1"/>
                <w:color w:val="auto"/>
                <w:w w:val="99"/>
              </w:rPr>
              <w:t>LANDSTAR SYSTEM, INC.</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0" w:type="dxa"/>
            <w:vAlign w:val="bottom"/>
            <w:gridSpan w:val="18"/>
          </w:tcPr>
          <w:p>
            <w:pPr>
              <w:jc w:val="center"/>
              <w:ind w:right="2660"/>
              <w:spacing w:after="0"/>
              <w:rPr>
                <w:sz w:val="20"/>
                <w:szCs w:val="20"/>
                <w:color w:val="auto"/>
              </w:rPr>
            </w:pPr>
            <w:r>
              <w:rPr>
                <w:rFonts w:ascii="Arial" w:cs="Arial" w:eastAsia="Arial" w:hAnsi="Arial"/>
                <w:sz w:val="18"/>
                <w:szCs w:val="18"/>
                <w:b w:val="1"/>
                <w:bCs w:val="1"/>
                <w:color w:val="auto"/>
                <w:w w:val="98"/>
              </w:rPr>
              <w:t>2021 ANNUAL REPORT ON FORM 10-K</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gridSpan w:val="15"/>
          </w:tcPr>
          <w:p>
            <w:pPr>
              <w:jc w:val="center"/>
              <w:ind w:right="396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020" w:type="dxa"/>
            <w:vAlign w:val="bottom"/>
            <w:gridSpan w:val="11"/>
            <w:vMerge w:val="restart"/>
          </w:tcPr>
          <w:p>
            <w:pPr>
              <w:jc w:val="center"/>
              <w:ind w:right="444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020" w:type="dxa"/>
            <w:vAlign w:val="bottom"/>
            <w:gridSpan w:val="11"/>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580" w:type="dxa"/>
            <w:vAlign w:val="bottom"/>
            <w:gridSpan w:val="14"/>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444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24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720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790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12"/>
          </w:tcPr>
          <w:p>
            <w:pPr>
              <w:jc w:val="center"/>
              <w:ind w:right="4400"/>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Market for Registrant’s Common Equity, Related Stockholder Matters and Issuer Purchases of Equity Securities</w:t>
              </w:r>
            </w:hyperlink>
          </w:p>
        </w:tc>
        <w:tc>
          <w:tcPr>
            <w:tcW w:w="1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240" w:type="dxa"/>
            <w:vAlign w:val="bottom"/>
            <w:gridSpan w:val="2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Reserved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48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24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Changes in and Disagreements with Accountants on Accounting and Financial Disclosure</w:t>
              </w:r>
            </w:hyperlink>
          </w:p>
        </w:tc>
        <w:tc>
          <w:tcPr>
            <w:tcW w:w="27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240" w:type="dxa"/>
            <w:vAlign w:val="bottom"/>
            <w:gridSpan w:val="2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48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Disclosure Regarding Foreign Jurisdictions that Prevent Inspections</w:t>
              </w:r>
            </w:hyperlink>
          </w:p>
        </w:tc>
        <w:tc>
          <w:tcPr>
            <w:tcW w:w="43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Directors, Executive Officers and Corporate Governance</w:t>
              </w:r>
            </w:hyperlink>
          </w:p>
        </w:tc>
        <w:tc>
          <w:tcPr>
            <w:tcW w:w="514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240" w:type="dxa"/>
            <w:vAlign w:val="bottom"/>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240" w:type="dxa"/>
            <w:vAlign w:val="bottom"/>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19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38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IV</w:t>
              </w:r>
            </w:hyperlink>
          </w:p>
        </w:tc>
        <w:tc>
          <w:tcPr>
            <w:tcW w:w="436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24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 – 31.1 Section 302 CEO Certification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 – 31.2 Section 302 CFO Certification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 – 32.1 Section 906 CEO Certification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 – 32.2 Section 906 CFO Certification</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86"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Landstar System, Inc. was incorporated in January 1991 under the laws of the State of Delaware and has been a publicly held company since its initial public offering in March 1993. The principal executive offices of Landstar System, Inc. (collectively with its subsidiaries and other affiliated companies referred to herein as “Landstar” or the “Company,” unless the context otherwise requires) is located at 13410 Sutton Park Drive South, Jacksonville, Florida 32224 and its telephone number is (904) 398-9400. The Company makes available free of charge through its website its annual report on Form 10-K, quarterly reports on Form 10-Q, current reports on Form 8-K, proxy statements on Schedule 14A and any amendments to those reports filed or furnished pursuant to Section 13(a) of 15(d) of the Exchange Act as soon as reasonably practicable after such material is electronically filed with the Securities and Exchange Commission (“SEC”). The Company’s website is www.landstar.com. The SEC maintains a website at http://www.sec.gov that contains the Company’s current and periodic reports, proxy and information statements and other information filed electronically with the SEC.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Landstar is a worldwide technology-enabled, asset-light provider of integrated transportation management solutions.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over 1,200 independent commission sales agents and over 101,000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$6.5 billion during the most recently completed fiscal year. The Company reports the results of two operating segments: the transportation logistics segment and the insurance segment.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Transportation Logistics Segment</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as further described below under “</w:t>
      </w:r>
      <w:r>
        <w:rPr>
          <w:rFonts w:ascii="Arial" w:cs="Arial" w:eastAsia="Arial" w:hAnsi="Arial"/>
          <w:sz w:val="17"/>
          <w:szCs w:val="17"/>
          <w:i w:val="1"/>
          <w:iCs w:val="1"/>
          <w:color w:val="auto"/>
        </w:rPr>
        <w:t>Truck Services</w:t>
      </w:r>
      <w:r>
        <w:rPr>
          <w:rFonts w:ascii="Arial" w:cs="Arial" w:eastAsia="Arial" w:hAnsi="Arial"/>
          <w:sz w:val="17"/>
          <w:szCs w:val="17"/>
          <w:color w:val="auto"/>
        </w:rPr>
        <w:t>”, Landstar Blue. Transportation services offered by the Company include truckload, less-than-truckload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In addition, the transportation logistics segment provides transportation services to other transportation companies, including third party logistics, small package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See “Notes to Consolidated Financial Statements” for the amount of revenue from external customers, measure of profit and total assets attributable to the transportation logistics segment for the last three fiscal years.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Truck Services</w:t>
      </w:r>
      <w:r>
        <w:rPr>
          <w:rFonts w:ascii="Arial" w:cs="Arial" w:eastAsia="Arial" w:hAnsi="Arial"/>
          <w:sz w:val="17"/>
          <w:szCs w:val="17"/>
          <w:color w:val="auto"/>
        </w:rPr>
        <w:t>. The transportation logistics segment’s truck transportation services include a full array of truckload transportation for a wide range</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commodities and, to a lesser degree, less-than-truckload and other truck transportation services. A significant portion of the Company’s truckload services is priced in the spot market and delivered over irregular or non-repetitive routes, while approximately 31% of the Company’s fiscal year 2021 truck transportation revenue was generated by BCO Independent Contractors utilizing Landstar provided trailing equipment, which frequently is used on more routine, regular routes. The Company utilizes a broad assortment of equipment, including dry and specialty vans of various sizes, unsided/platform trailers (including flatbeds, drop decks and specialty trailers) and temperature-controlled vans. Available truck transportation services also include short-to-long haul movement of containers by truck and expedited ground and dedicated power-only truck capacity. During fiscal year 2021, revenue generated by BCO Independent Contractors and Truck Brokerage Carriers was 40% and 51%, respectively, of consolidated revenue. Also, during fiscal year 2021, truck transportation revenue generated via van equipment and unsided/platform trailing equipment was 59% and 26%, respectively, of truck transportation revenue and less-than-truckload and other truck transportation revenue was 2% and 13%, respectively, of truck transportation revenue. The Company’s truck services contributed 91% of consolidated revenue in fiscal year 2021 and 92% of consolidated revenue in both fiscal years 2020 and 2019, respectively.</w:t>
      </w:r>
    </w:p>
    <w:p>
      <w:pPr>
        <w:spacing w:after="0" w:line="17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On May 6, 2020, the Company formed a new subsidiary that was subsequently renamed Landstar Blue. Landstar Blue arranges truckload brokerage services while helping the Company to develop and test digital technologies and processes for the benefit of all Landstar independent commission sales agents. On June 15, 2020, Landstar Blue completed the acquisition of an independent agent of the Company whose business focused on truckload brokerage services. The results of operations from Landstar Blue are presented as part of the Company’s transportation logistics segment. Revenue from Landstar Blue represented less than 1% of the Company’s transportation logistics segment revenue in both fiscal years 2021 and 2020.</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 xml:space="preserve">Rail Intermodal Services. </w:t>
      </w:r>
      <w:r>
        <w:rPr>
          <w:rFonts w:ascii="Arial" w:cs="Arial" w:eastAsia="Arial" w:hAnsi="Arial"/>
          <w:sz w:val="18"/>
          <w:szCs w:val="18"/>
          <w:color w:val="auto"/>
        </w:rPr>
        <w:t>The transportation logistics segment has contracts with Class 1 domestic and Canadian railroads, certain short-line</w:t>
      </w:r>
      <w:r>
        <w:rPr>
          <w:rFonts w:ascii="Arial" w:cs="Arial" w:eastAsia="Arial" w:hAnsi="Arial"/>
          <w:sz w:val="18"/>
          <w:szCs w:val="18"/>
          <w:i w:val="1"/>
          <w:iCs w:val="1"/>
          <w:color w:val="auto"/>
        </w:rPr>
        <w:t xml:space="preserve"> </w:t>
      </w:r>
      <w:r>
        <w:rPr>
          <w:rFonts w:ascii="Arial" w:cs="Arial" w:eastAsia="Arial" w:hAnsi="Arial"/>
          <w:sz w:val="18"/>
          <w:szCs w:val="18"/>
          <w:color w:val="auto"/>
        </w:rPr>
        <w:t>railroads and most major asset-based intermodal equipment providers, including agreements with stacktrain operators and container and trailing equipment companies. In addition, the transportation logistics segment has contracts with a vast network of local trucking companies that handle pick-up and delivery of rail freight. These contracts provide the transportation logistics segment the ability to transport freight via rail throughout the United States, Canada and Mexico. The transportation logistics segment’s rail intermodal service capabilities include trailer on flat car, container on flat car, box car and railcar. The transportation logistics segment’s rail intermodal services contributed 2% of consolidated revenue in fiscal year 2021 and 3% in both fiscal years 2020 and 2019.</w:t>
      </w:r>
    </w:p>
    <w:p>
      <w:pPr>
        <w:spacing w:after="0" w:line="19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i w:val="1"/>
          <w:iCs w:val="1"/>
          <w:color w:val="auto"/>
        </w:rPr>
        <w:t xml:space="preserve">Air and Ocean Services. </w:t>
      </w:r>
      <w:r>
        <w:rPr>
          <w:rFonts w:ascii="Arial" w:cs="Arial" w:eastAsia="Arial" w:hAnsi="Arial"/>
          <w:sz w:val="17"/>
          <w:szCs w:val="17"/>
          <w:color w:val="auto"/>
        </w:rPr>
        <w:t>The transportation logistics segment provides domestic and international air services and ocean services to its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executes international air freight transportation as an International Air Transport Association (“IATA”) certified Indirect Air Carrier (“IAC”) and international ocean freight transportation as an Ocean Transportation Intermediary (“OTI”) licensed by the Federal Maritime Commission (“FMC”) as a non-vessel operating common carrier (“NVOCC”) and ocean freight forwarder. Through its network of independent commission sales agents, relationships within a global network of foreign transportation intermediaries and contracts with a number of airlines and ocean lines, the transportation logistics segment provides efficient and cost effective door-to-door transportation to most points in the world for a vast array of cargo types such as over-sized break bulk, consolidations, full container loads, less-than container loads and refrigerated freight. The transportation logistics segment’s air and ocean services contributed 5% of consolidated revenue in fiscal year 2021 and 3% of consolidated revenue in both fiscal years 2020 and 2019.</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insurance segment is comprised of Signature Insurance Company (“Signature”), a wholly owned offshore insurance subsidiary, and Risk Management Claim Services, Inc. (“RMCS”).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of loss is ultimately borne by Signature. Revenue at the insurance segment represented approximately 1% of the Company’s consolidated revenue in each of fiscal years 2021, 2020 and 2019. See “Notes to Consolidated Financial Statements” for the amount of revenue from external customers, measure of profit and total assets attributable to the insurance segment for the last three fiscal years.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Significant to the Company’s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Management believes the following factors are particularly significant to the Company’s operations: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Agent Network</w:t>
      </w:r>
    </w:p>
    <w:p>
      <w:pPr>
        <w:spacing w:after="0" w:line="117" w:lineRule="exact"/>
        <w:rPr>
          <w:sz w:val="20"/>
          <w:szCs w:val="20"/>
          <w:color w:val="auto"/>
        </w:rPr>
      </w:pPr>
    </w:p>
    <w:p>
      <w:pPr>
        <w:ind w:left="560" w:right="40" w:firstLine="423"/>
        <w:spacing w:after="0" w:line="289" w:lineRule="auto"/>
        <w:rPr>
          <w:sz w:val="20"/>
          <w:szCs w:val="20"/>
          <w:color w:val="auto"/>
        </w:rPr>
      </w:pPr>
      <w:r>
        <w:rPr>
          <w:rFonts w:ascii="Arial" w:cs="Arial" w:eastAsia="Arial" w:hAnsi="Arial"/>
          <w:sz w:val="16"/>
          <w:szCs w:val="16"/>
          <w:color w:val="auto"/>
        </w:rPr>
        <w:t>The Company’s primary day-to-day contact with its customers is through its network of independent commission sales agents and, to a lesser extent, through employees of the Company. The typical Landstar independent commission sales agent maintains a relationship with a number of shippers and services these shippers utilizing the Company’s digital technologies and extensive network of third party capacity that provides various modes of transportation services to the Company. The Company provides assistance to the agents in developing additional relationships with shippers and enhancing agent and Company relationships with larger shippers through the Company’s field employees, located throughout the United States and Canada. The Operating Subsidiaries provide programs to support the agents’ operations and tools and data to assist agents in establishing pricing for freight hauled by the various modes of transportation available to the agents. It is important to note that the Operating Subsidiaries, and not the Company’s agents, contract directly with customers and generally assume the related credit risk and potential liability for freight losses or damages when the Company is providing transportation services as a motor carrier.</w:t>
      </w:r>
    </w:p>
    <w:p>
      <w:pPr>
        <w:spacing w:after="0" w:line="58" w:lineRule="exact"/>
        <w:rPr>
          <w:sz w:val="20"/>
          <w:szCs w:val="20"/>
          <w:color w:val="auto"/>
        </w:rPr>
      </w:pPr>
    </w:p>
    <w:p>
      <w:pPr>
        <w:ind w:left="560" w:right="40" w:firstLine="423"/>
        <w:spacing w:after="0" w:line="288" w:lineRule="auto"/>
        <w:rPr>
          <w:sz w:val="20"/>
          <w:szCs w:val="20"/>
          <w:color w:val="auto"/>
        </w:rPr>
      </w:pPr>
      <w:r>
        <w:rPr>
          <w:rFonts w:ascii="Arial" w:cs="Arial" w:eastAsia="Arial" w:hAnsi="Arial"/>
          <w:sz w:val="16"/>
          <w:szCs w:val="16"/>
          <w:color w:val="auto"/>
        </w:rPr>
        <w:t>Management believes the Company has more independent commission sales agents than any other asset-light integrated transportation management solutions company in the United States. Landstar’s vast network of independent commission sales agent locations provides the Company regular contact with shippers at the local level and the capability to be highly responsive to shippers’ changing needs. The Company’s large network of available capacity provides independent commission sales agents with the resources needed to service both large and small shippers. Through its agent network, the Company offers smaller shippers a level of service comparable to that typically enjoyed only by larger customers. Examples include the ability to provide transportation services on short notice, multiple pick-up and delivery points, automated information flow, access to specialized equipment, spotted van trailers and drop-and-hook operations. While the majority of the agents in the Company’s network arrange truck transportation services for shippers, a number of the Company’s agents specialize in certain types of freight and transportation services (such as oversized or heavy loads and/or rail, air and international freight transportation). Each independent commission sales agent has the opportunity to market all of the services provided by the transportation logistics segment.</w:t>
      </w:r>
    </w:p>
    <w:p>
      <w:pPr>
        <w:spacing w:after="0" w:line="60" w:lineRule="exact"/>
        <w:rPr>
          <w:sz w:val="20"/>
          <w:szCs w:val="20"/>
          <w:color w:val="auto"/>
        </w:rPr>
      </w:pPr>
    </w:p>
    <w:p>
      <w:pPr>
        <w:ind w:left="560" w:right="140" w:firstLine="423"/>
        <w:spacing w:after="0" w:line="271" w:lineRule="auto"/>
        <w:rPr>
          <w:sz w:val="20"/>
          <w:szCs w:val="20"/>
          <w:color w:val="auto"/>
        </w:rPr>
      </w:pPr>
      <w:r>
        <w:rPr>
          <w:rFonts w:ascii="Arial" w:cs="Arial" w:eastAsia="Arial" w:hAnsi="Arial"/>
          <w:sz w:val="17"/>
          <w:szCs w:val="17"/>
          <w:color w:val="auto"/>
        </w:rPr>
        <w:t>The independent commission sales agents use a variety of digital technologies provided by the Company to service the requirements of shippers. For truckload services, the Company’s independent commission sales agents primarily use Landstar proprietary software which enables agents to enter available freight, dispatch capacity and process most administrative tasks and then communicate that information to Landstar and its capacity providers through either web-based or mobile tools. The Company’s web-based available truck information system provides a listing of available truck capacity to the Company’s independent commission sales agents. The Company also offers independent commission sales agents a variety of proprietary pricing, operational and financial tools via web or mobile applications. For modes of transportation other than truckload, the independent commission sales agents utilize both proprietary and third party information technology applications provided by the Company.</w:t>
      </w:r>
    </w:p>
    <w:p>
      <w:pPr>
        <w:spacing w:after="0" w:line="70" w:lineRule="exact"/>
        <w:rPr>
          <w:sz w:val="20"/>
          <w:szCs w:val="20"/>
          <w:color w:val="auto"/>
        </w:rPr>
      </w:pPr>
    </w:p>
    <w:p>
      <w:pPr>
        <w:ind w:left="560" w:right="180" w:firstLine="423"/>
        <w:spacing w:after="0" w:line="254" w:lineRule="auto"/>
        <w:rPr>
          <w:sz w:val="20"/>
          <w:szCs w:val="20"/>
          <w:color w:val="auto"/>
        </w:rPr>
      </w:pPr>
      <w:r>
        <w:rPr>
          <w:rFonts w:ascii="Arial" w:cs="Arial" w:eastAsia="Arial" w:hAnsi="Arial"/>
          <w:sz w:val="18"/>
          <w:szCs w:val="18"/>
          <w:color w:val="auto"/>
        </w:rPr>
        <w:t>Commissions to agents are based on contractually agreed-upon percentages of (i) revenue, (ii) revenue less the cost of purchased transportation, or (iii) revenue less a contractually agreed upon percentage of revenue retained by Landstar and the cost of purchased transportation (the “retention 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 Commissions to agents are recognized over the freight transit period as the performance obligation to the customer is completed.</w:t>
      </w:r>
    </w:p>
    <w:p>
      <w:pPr>
        <w:spacing w:after="0" w:line="87" w:lineRule="exact"/>
        <w:rPr>
          <w:sz w:val="20"/>
          <w:szCs w:val="20"/>
          <w:color w:val="auto"/>
        </w:rPr>
      </w:pPr>
    </w:p>
    <w:p>
      <w:pPr>
        <w:ind w:left="560" w:firstLine="423"/>
        <w:spacing w:after="0" w:line="254" w:lineRule="auto"/>
        <w:rPr>
          <w:sz w:val="20"/>
          <w:szCs w:val="20"/>
          <w:color w:val="auto"/>
        </w:rPr>
      </w:pPr>
      <w:r>
        <w:rPr>
          <w:rFonts w:ascii="Arial" w:cs="Arial" w:eastAsia="Arial" w:hAnsi="Arial"/>
          <w:sz w:val="18"/>
          <w:szCs w:val="18"/>
          <w:color w:val="auto"/>
        </w:rPr>
        <w:t>The Company had 593 and 508 agents that each generated at least $1 million in Landstar revenue (the “Million Dollar Agents”) during fiscal years 2021 and 2020, respectively. Landstar revenue from the Million Dollar Agents in the aggregate represented 94% and 92% of consolidated revenue in 2021 and 2020, respectively. Included among the Company’s Million Dollar Agents, the Company had 115 independent sales agencies that generated at least $10 million in Landstar revenue during the 2021 fiscal year, which in aggregate comprised approximately 71% of Landstar’s consolidated revenue. Management believes that the majority of the Million Dollar Agents choose to represent the Company exclusively. 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 Party Capacity</w:t>
      </w:r>
    </w:p>
    <w:p>
      <w:pPr>
        <w:spacing w:after="0" w:line="117"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The Company relies exclusively on independent third parties for its hauling capacity other than for trailing equipment owned or leased by the Company and utilized primarily by the BCO Independent Contractors. These third party transportation capacity providers consist of BCO Independent Contractors, Truck Brokerage Carriers, air and ocean cargo carriers and railroads. Landstar’s use of capacity provided by third parties allows it to maintain a lower level of capital investment, resulting in lower fixed costs. During fiscal year 2021, revenue generated by BCO Independent Contractors, Truck Brokerage Carriers and railroads represented approximately 40%, 51% and 2%, respectively, of the Company’s consolidated revenue. Collectively, revenue generated by air and ocean cargo carriers represented approximately 5% of the Company’s consolidated revenue during fiscal year 2021. Historically, variable contribution margin (defined as variable contribution, which is defined as revenue less variable costs of revenue, divided by revenue) generated from freight hauled by BCO Independent Contractors has been greater than that from freight hauled by other third party capacity providers. However, the Company’s insurance and claims costs, depreciation costs and other operating costs are incurred primarily in support of BCO Independent Contractor capacity. In addition, as further described in the “Corporate Services” section that follows, the Company incurs significantly higher selling, general and administrative costs in support of BCO Independent Contractor capacity as compared to the other modes of transportation. Purchased transportation costs are recognized over the freight transit period as the performance obligation to the customer is completed.</w:t>
      </w:r>
    </w:p>
    <w:p>
      <w:pPr>
        <w:spacing w:after="0" w:line="78" w:lineRule="exact"/>
        <w:rPr>
          <w:sz w:val="20"/>
          <w:szCs w:val="20"/>
          <w:color w:val="auto"/>
        </w:rPr>
      </w:pPr>
    </w:p>
    <w:p>
      <w:pPr>
        <w:ind w:left="560" w:right="20" w:firstLine="423"/>
        <w:spacing w:after="0" w:line="296" w:lineRule="auto"/>
        <w:rPr>
          <w:sz w:val="20"/>
          <w:szCs w:val="20"/>
          <w:color w:val="auto"/>
        </w:rPr>
      </w:pPr>
      <w:r>
        <w:rPr>
          <w:rFonts w:ascii="Arial" w:cs="Arial" w:eastAsia="Arial" w:hAnsi="Arial"/>
          <w:sz w:val="16"/>
          <w:szCs w:val="16"/>
          <w:i w:val="1"/>
          <w:iCs w:val="1"/>
          <w:color w:val="auto"/>
        </w:rPr>
        <w:t xml:space="preserve">BCO Independent Contractors. </w:t>
      </w:r>
      <w:r>
        <w:rPr>
          <w:rFonts w:ascii="Arial" w:cs="Arial" w:eastAsia="Arial" w:hAnsi="Arial"/>
          <w:sz w:val="16"/>
          <w:szCs w:val="16"/>
          <w:color w:val="auto"/>
        </w:rPr>
        <w:t>Management believes the Company has the largest fleet of truckload BCO Independent Contractors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BCO Independent Contractors provide truck capacity to the Company under exclusive lease arrangements. Each BCO Independent Contractor operates under the motor carrier operating authority issued by the U.S. Department of Transportation (“DOT”) to Landstar’s Operating Subsidiary to which such BCO Independent Contractor provides services and has leased his or her equipment. The Company’s network of BCO Independent Contractors provides marketing, operating, safety, recruiting and retention advantages to the Company.</w:t>
      </w:r>
    </w:p>
    <w:p>
      <w:pPr>
        <w:spacing w:after="0" w:line="53" w:lineRule="exact"/>
        <w:rPr>
          <w:sz w:val="20"/>
          <w:szCs w:val="20"/>
          <w:color w:val="auto"/>
        </w:rPr>
      </w:pPr>
    </w:p>
    <w:p>
      <w:pPr>
        <w:ind w:left="560" w:right="120" w:firstLine="423"/>
        <w:spacing w:after="0" w:line="284" w:lineRule="auto"/>
        <w:rPr>
          <w:sz w:val="20"/>
          <w:szCs w:val="20"/>
          <w:color w:val="auto"/>
        </w:rPr>
      </w:pPr>
      <w:r>
        <w:rPr>
          <w:rFonts w:ascii="Arial" w:cs="Arial" w:eastAsia="Arial" w:hAnsi="Arial"/>
          <w:sz w:val="16"/>
          <w:szCs w:val="16"/>
          <w:color w:val="auto"/>
        </w:rPr>
        <w:t>The Company’s BCO Independent Contractors are compensated primarily based on a contractually agreed-upon percentage of revenue generated by loads they haul. This percentage generally ranges from 62% to 70% where the BCO Independent Contractor provides only a tractor and 73% to 76% where the BCO Independent Contractor provides both a tractor and trailing equipment. The BCO Independent Contractor must pay substantially all of the expenses of operating his/her equipment, including driver wages and benefits, fuel, physical damage insurance, maintenance, highway use taxes and debt service, if applicable. The Company passes 100% of fuel surcharges billed to customers for freight hauled by BCO Independent Contractors to its BCO Independent Contractors. During fiscal year 2021, the Company billed customers</w:t>
      </w:r>
    </w:p>
    <w:p>
      <w:pPr>
        <w:spacing w:after="0" w:line="4" w:lineRule="exact"/>
        <w:rPr>
          <w:sz w:val="20"/>
          <w:szCs w:val="20"/>
          <w:color w:val="auto"/>
        </w:rPr>
      </w:pPr>
    </w:p>
    <w:p>
      <w:pPr>
        <w:ind w:left="560" w:right="560"/>
        <w:spacing w:after="0" w:line="260" w:lineRule="auto"/>
        <w:rPr>
          <w:sz w:val="20"/>
          <w:szCs w:val="20"/>
          <w:color w:val="auto"/>
        </w:rPr>
      </w:pPr>
      <w:r>
        <w:rPr>
          <w:rFonts w:ascii="Arial" w:cs="Arial" w:eastAsia="Arial" w:hAnsi="Arial"/>
          <w:sz w:val="18"/>
          <w:szCs w:val="18"/>
          <w:color w:val="auto"/>
        </w:rPr>
        <w:t>$260.3 million in fuel surcharges and passed 100% of such fuel surcharges to the BCO Independent Contractors. These fuel surcharges are excluded from revenue and the cost of purchased transportation.</w:t>
      </w:r>
    </w:p>
    <w:p>
      <w:pPr>
        <w:spacing w:after="0" w:line="77" w:lineRule="exact"/>
        <w:rPr>
          <w:sz w:val="20"/>
          <w:szCs w:val="20"/>
          <w:color w:val="auto"/>
        </w:rPr>
      </w:pPr>
    </w:p>
    <w:p>
      <w:pPr>
        <w:ind w:left="560" w:right="40" w:firstLine="423"/>
        <w:spacing w:after="0" w:line="274" w:lineRule="auto"/>
        <w:rPr>
          <w:sz w:val="20"/>
          <w:szCs w:val="20"/>
          <w:color w:val="auto"/>
        </w:rPr>
      </w:pPr>
      <w:r>
        <w:rPr>
          <w:rFonts w:ascii="Arial" w:cs="Arial" w:eastAsia="Arial" w:hAnsi="Arial"/>
          <w:sz w:val="16"/>
          <w:szCs w:val="16"/>
          <w:color w:val="auto"/>
        </w:rPr>
        <w:t>The Company maintains an ecosystem of digital technologies and applications through which BCO Independent Contractors can view a comprehensive listing of the Company’s available freight, allowing them to consider rate, size, origin and destination when planning trips. The Company’s LandstarOne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mobile application provides BCO Independent Contractors information on loading opportunities as well as fueling station locations, retail fuel prices, fuel prices net of Landstar-arranged discounts and applicable state fuel tax credits, and equipment inspection site locations. The Landstar Contractors’ Advantage Purchasing Program (“LCAPP”) leverages Landstar’s purchasing power to provide discounts to eligible BCO Independent Contractors when they purchase equipment, fuel, tires and other items. In addition, Landstar Contractor Financing, Inc. provides a source of funds at competitive interest rates to the BCO Independent Contractors to purchase trailing equipment.</w:t>
      </w:r>
    </w:p>
    <w:p>
      <w:pPr>
        <w:spacing w:after="0" w:line="71" w:lineRule="exact"/>
        <w:rPr>
          <w:sz w:val="20"/>
          <w:szCs w:val="20"/>
          <w:color w:val="auto"/>
        </w:rPr>
      </w:pPr>
    </w:p>
    <w:p>
      <w:pPr>
        <w:ind w:left="560" w:right="20" w:firstLine="423"/>
        <w:spacing w:after="0" w:line="269" w:lineRule="auto"/>
        <w:rPr>
          <w:sz w:val="20"/>
          <w:szCs w:val="20"/>
          <w:color w:val="auto"/>
        </w:rPr>
      </w:pPr>
      <w:r>
        <w:rPr>
          <w:rFonts w:ascii="Arial" w:cs="Arial" w:eastAsia="Arial" w:hAnsi="Arial"/>
          <w:sz w:val="17"/>
          <w:szCs w:val="17"/>
          <w:color w:val="auto"/>
        </w:rPr>
        <w:t>The number of trucks provided to the Company by BCO Independent Contractors was 11,864 at December 25, 2021, compared to 10,991 at December 26, 2020. At December 25, 2021, approximately 97% of the trucks provided by BCO Independent Contractors were provided by BCO Independent Contractors who provided five or fewer trucks to the Company. The number of trucks provided by BCO Independent Contractors fluctuates daily as a result of truck recruiting and truck terminations. Less trucks were recruited in fiscal year 2021 than in fiscal year 2020 and trucks terminated were lower in fiscal year 2021 than in fiscal year 2020, resulting in an overall net increase of 873 trucks during fiscal year 2021. Landstar’s BCO Independent Contractor truck turnover was approximately 21% in fiscal year 2021, compared to 27% in fiscal year 2020. Approximately 35% of 2021 turnover was attributable to BCO Independent Contractors who had been with the Company for less than one year. Management believes the factors that have historically favorably impacted turnover include the Company’s extensive agent network, the quantity and quality of available freight, the proprietary technology-based tools the Company makes available to BCO Independent Contractors to empower them to manage their businesses, the Company’s programs to reduce the operating costs of its BCO Independent Contractors and Landstar’s reputation for quality, service, reliability and financial strength.</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86"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23"/>
        <w:spacing w:after="0" w:line="296" w:lineRule="auto"/>
        <w:rPr>
          <w:sz w:val="20"/>
          <w:szCs w:val="20"/>
          <w:color w:val="auto"/>
        </w:rPr>
      </w:pPr>
      <w:r>
        <w:rPr>
          <w:rFonts w:ascii="Arial" w:cs="Arial" w:eastAsia="Arial" w:hAnsi="Arial"/>
          <w:sz w:val="16"/>
          <w:szCs w:val="16"/>
          <w:color w:val="auto"/>
        </w:rPr>
        <w:t>In October 2020, the Company announced a new initiative in further support of its network of BCO Independent Contractors. This initiative involved the establishment of multiple field operations centers located in the United States and Canada to further support the Company’s ongoing efforts in recruiting and retaining BCO Independent Contractors. In connection with this initiative, the Company recorded commission program termination costs of $15,494,000 related to buyouts of certain incentive commission arrangements with several of its independent sales agents due to the Company’s discontinuation of a truck owner-operator recruitment and retention program formerly involving those agents.</w:t>
      </w:r>
    </w:p>
    <w:p>
      <w:pPr>
        <w:spacing w:after="0" w:line="53"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i w:val="1"/>
          <w:iCs w:val="1"/>
          <w:color w:val="auto"/>
        </w:rPr>
        <w:t xml:space="preserve">Truck Brokerage Carriers. </w:t>
      </w:r>
      <w:r>
        <w:rPr>
          <w:rFonts w:ascii="Arial" w:cs="Arial" w:eastAsia="Arial" w:hAnsi="Arial"/>
          <w:sz w:val="18"/>
          <w:szCs w:val="18"/>
          <w:color w:val="auto"/>
        </w:rPr>
        <w:t>At December 25, 2021, the Company maintained a database of over 90,000 approved Truck Brokerage Carriers</w:t>
      </w:r>
      <w:r>
        <w:rPr>
          <w:rFonts w:ascii="Arial" w:cs="Arial" w:eastAsia="Arial" w:hAnsi="Arial"/>
          <w:sz w:val="18"/>
          <w:szCs w:val="18"/>
          <w:i w:val="1"/>
          <w:iCs w:val="1"/>
          <w:color w:val="auto"/>
        </w:rPr>
        <w:t xml:space="preserve"> </w:t>
      </w:r>
      <w:r>
        <w:rPr>
          <w:rFonts w:ascii="Arial" w:cs="Arial" w:eastAsia="Arial" w:hAnsi="Arial"/>
          <w:sz w:val="18"/>
          <w:szCs w:val="18"/>
          <w:color w:val="auto"/>
        </w:rPr>
        <w:t>who provide truck capacity to the Company. Truck Brokerage Carriers provide truck capacity to the Company under non-exclusive contractual arrangements and each operates under its own DOT-issued motor carrier operating authority. Truck Brokerage Carriers are paid either a negotiated rate for each load hauled or, to a lesser extent, a contractually agreed-upon fixed rate per load. The Company recruits, approves, establishes contracts with and tracks safety ratings and service records of these third party trucking companies. In addition to providing additional capacity to the Company, the use of Truck Brokerage Carriers enables the Company to pursue different types and quality of freight such as short-haul traffic, less-than-truckload and, in certain instances, lower-priced freight that generally would not be handled by the Company’s BCO Independent Contractors.</w:t>
      </w:r>
    </w:p>
    <w:p>
      <w:pPr>
        <w:spacing w:after="0" w:line="84"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The Company maintains an ecosystem of digital technologies and applications through which Truck Brokerage Carriers can view a listing of the Company’s freight that is available to them. The Landstar Savings Plus Program leverages Landstar’s purchasing power to provide discounts to eligible Truck Brokerage Carriers when they purchase fuel and equipment and provides the Truck Brokerage Carriers with an electronic payment option.</w:t>
      </w:r>
    </w:p>
    <w:p>
      <w:pPr>
        <w:spacing w:after="0" w:line="79"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i w:val="1"/>
          <w:iCs w:val="1"/>
          <w:color w:val="auto"/>
        </w:rPr>
        <w:t xml:space="preserve">Railroads and Air and Ocean Cargo Carriers. </w:t>
      </w:r>
      <w:r>
        <w:rPr>
          <w:rFonts w:ascii="Arial" w:cs="Arial" w:eastAsia="Arial" w:hAnsi="Arial"/>
          <w:sz w:val="18"/>
          <w:szCs w:val="18"/>
          <w:color w:val="auto"/>
        </w:rPr>
        <w:t>The Company has contracts with Class 1 domestic and Canadian railroads, certain short-line</w:t>
      </w:r>
      <w:r>
        <w:rPr>
          <w:rFonts w:ascii="Arial" w:cs="Arial" w:eastAsia="Arial" w:hAnsi="Arial"/>
          <w:sz w:val="18"/>
          <w:szCs w:val="18"/>
          <w:i w:val="1"/>
          <w:iCs w:val="1"/>
          <w:color w:val="auto"/>
        </w:rPr>
        <w:t xml:space="preserve"> </w:t>
      </w:r>
      <w:r>
        <w:rPr>
          <w:rFonts w:ascii="Arial" w:cs="Arial" w:eastAsia="Arial" w:hAnsi="Arial"/>
          <w:sz w:val="18"/>
          <w:szCs w:val="18"/>
          <w:color w:val="auto"/>
        </w:rPr>
        <w:t>railroads and domestic and international airlines and ocean lines. These relationships allow the Company to pursue the freight best serviced by these forms of transportation capacity. Railroads are paid either a negotiated rate for each load hauled or a contractually agreed-upon fixed rate per load. Air cargo carriers are generally paid a negotiated rate for each load hauled. Ocean cargo carriers are generally paid contractually agreed-upon fixed rates per load. The Company also contracts with other third party capacity providers, such as air charter service providers, when required by specific customer needs.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Trailing Equipment</w:t>
      </w:r>
    </w:p>
    <w:p>
      <w:pPr>
        <w:spacing w:after="0" w:line="117" w:lineRule="exact"/>
        <w:rPr>
          <w:sz w:val="20"/>
          <w:szCs w:val="20"/>
          <w:color w:val="auto"/>
        </w:rPr>
      </w:pPr>
    </w:p>
    <w:p>
      <w:pPr>
        <w:ind w:left="560" w:right="260" w:firstLine="423"/>
        <w:spacing w:after="0" w:line="301" w:lineRule="auto"/>
        <w:rPr>
          <w:sz w:val="20"/>
          <w:szCs w:val="20"/>
          <w:color w:val="auto"/>
        </w:rPr>
      </w:pPr>
      <w:r>
        <w:rPr>
          <w:rFonts w:ascii="Arial" w:cs="Arial" w:eastAsia="Arial" w:hAnsi="Arial"/>
          <w:sz w:val="16"/>
          <w:szCs w:val="16"/>
          <w:color w:val="auto"/>
        </w:rPr>
        <w:t>The Company offers its customers a large and diverse fleet of trailing equipment. The following table illustrates the mix of the trailing equipment as of December 25, 2021, either provided by the BCO Independent Contractors or owned or leased by the Company and made available primarily to BCO Independent Contractors. In general, Truck Brokerage Carriers utilize their own trailing equipment when providing transportation services on behalf of Landstar. Truck Brokerage Carrier trailing equipment is not included in the following table:</w:t>
      </w:r>
    </w:p>
    <w:p>
      <w:pPr>
        <w:spacing w:after="0" w:line="5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Trailers by Type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Van</w:t>
            </w:r>
          </w:p>
        </w:tc>
        <w:tc>
          <w:tcPr>
            <w:tcW w:w="5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15,119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Unsided/platform, including flatbeds, step decks, drop decks and low boys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Temperature-controlled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18,307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Specialized services offered by the Company include those provided by a large fleet of flatbed trailers and multi-axle trailers capable of hauling extremely heavy or oversized loads. Management believes the Company, along with its network of capacity providers, offers one of the largest fleets of heavy/specialized trailing equipment in North America.</w:t>
      </w:r>
    </w:p>
    <w:p>
      <w:pPr>
        <w:spacing w:after="0" w:line="76" w:lineRule="exact"/>
        <w:rPr>
          <w:sz w:val="20"/>
          <w:szCs w:val="20"/>
          <w:color w:val="auto"/>
        </w:rPr>
      </w:pPr>
    </w:p>
    <w:p>
      <w:pPr>
        <w:ind w:left="560" w:right="160" w:firstLine="423"/>
        <w:spacing w:after="0" w:line="286" w:lineRule="auto"/>
        <w:rPr>
          <w:sz w:val="20"/>
          <w:szCs w:val="20"/>
          <w:color w:val="auto"/>
        </w:rPr>
      </w:pPr>
      <w:r>
        <w:rPr>
          <w:rFonts w:ascii="Arial" w:cs="Arial" w:eastAsia="Arial" w:hAnsi="Arial"/>
          <w:sz w:val="17"/>
          <w:szCs w:val="17"/>
          <w:color w:val="auto"/>
        </w:rPr>
        <w:t>At December 25, 2021, 14,160 of the trailers available to the BCO Independent Contractors were owned by the Company and 276 were rented. In addition, at December 25, 2021, 3,871 trailers were provided by the BCO Independent Contractors. Approximately 31% of Landstar’s truck transportation revenue was generated on Landstar-provided trailing equipment during fiscal year 2021.</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560" w:right="240" w:firstLine="423"/>
        <w:spacing w:after="0" w:line="279" w:lineRule="auto"/>
        <w:rPr>
          <w:sz w:val="20"/>
          <w:szCs w:val="20"/>
          <w:color w:val="auto"/>
        </w:rPr>
      </w:pPr>
      <w:r>
        <w:rPr>
          <w:rFonts w:ascii="Arial" w:cs="Arial" w:eastAsia="Arial" w:hAnsi="Arial"/>
          <w:sz w:val="17"/>
          <w:szCs w:val="17"/>
          <w:color w:val="auto"/>
        </w:rPr>
        <w:t>The Company’s customer base is highly diversified and dispersed across many industries, commodities and geographic regions. The Company’s top 100 customers accounted for approximately 46% of consolidated revenue during both fiscal years 2021 and 2020. Management believes that the Company’s overall size, ecosystem of digital technologies and applications, geographic coverage, access to equipment and diverse service capability offer the Company significant competitive marketing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9" w:lineRule="auto"/>
        <w:rPr>
          <w:sz w:val="20"/>
          <w:szCs w:val="20"/>
          <w:color w:val="auto"/>
        </w:rPr>
      </w:pPr>
      <w:r>
        <w:rPr>
          <w:rFonts w:ascii="Arial" w:cs="Arial" w:eastAsia="Arial" w:hAnsi="Arial"/>
          <w:sz w:val="16"/>
          <w:szCs w:val="16"/>
          <w:color w:val="auto"/>
        </w:rPr>
        <w:t>operating advantages. These advantages allow the Company to meet the needs of even the largest shippers. Larger shippers often consider reducing the number of authorized carriers they use in favor of a small number of “core carriers,” such as the Company, whose size and diverse service capabilities enable these core carriers to satisfy most of the shippers’ transportation needs. The Company’s national account customers include the United States Department of Defense and many of the companies included in the Fortune 500. Large shippers also use third party logistics providers (“3PLs”) to outsource the management and coordination of their transportation needs. 3PLs and other transportation companies also utilize the Company’s available transportation capacity to satisfy their obligations to their shippers. There were 12 transportation service providers, including 3PLs, included in the Company’s top 25 customers for fiscal year 2021. Management believes the Company’s network of agents and third party capacity providers allows it to efficiently attract and service smaller shippers which may not be as desirable to other large transportation providers (see above under “Agent Network”). No customer accounted for more than 4% of the Company’s 2021 revenue.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560" w:firstLine="423"/>
        <w:spacing w:after="0" w:line="270" w:lineRule="auto"/>
        <w:rPr>
          <w:sz w:val="20"/>
          <w:szCs w:val="20"/>
          <w:color w:val="auto"/>
        </w:rPr>
      </w:pPr>
      <w:r>
        <w:rPr>
          <w:rFonts w:ascii="Arial" w:cs="Arial" w:eastAsia="Arial" w:hAnsi="Arial"/>
          <w:sz w:val="17"/>
          <w:szCs w:val="17"/>
          <w:color w:val="auto"/>
        </w:rPr>
        <w:t>Landstar focuses on providing integrated transportation management solutions which emphasize customer service and information coordination among its independent commission sales agents, customers, capacity providers and employees. The Company continues to focus on identifying, purchasing or developing and implementing software applications and tools which are designed to: (i) assist Landstar independent commission sales agents in efficiently sourcing capacity, pricing transportation services and managing and analyzing the performance of their independent businesses, (ii) assist customers in meeting their transportation needs, (iii) assist third party capacity providers in identifying desirable freight opportunities and operating their independent businesses, and (iv) improve operational and administrative efficiency throughout the Company. Landstar intends to continue to improve its technologies to meet the total needs of its agents, customers and third party capacity providers and remains engaged in various multi-year projects aimed at increasing efficiencies, primarily through technology, at Landstar and across our agent and third party capacity network.</w:t>
      </w:r>
    </w:p>
    <w:p>
      <w:pPr>
        <w:spacing w:after="0" w:line="73"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Management believes leadership in the development, operation and support of an ecosystem of digital technologies and applications is an ongoing part of providing high quality service. The Company has engaged in a multi-year effort to implement a comprehensive strategy focused on the long-term development of leading edge digital tools to empower participants in our network to succeed in the technology-driven transportation logistics marketplace. As part of the execution of this strategy, the Company has launched the following tools to participants within our network:</w:t>
      </w:r>
    </w:p>
    <w:p>
      <w:pPr>
        <w:spacing w:after="0" w:line="93" w:lineRule="exact"/>
        <w:rPr>
          <w:sz w:val="20"/>
          <w:szCs w:val="20"/>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Agent TMS: A new, cloud-based platform for truckload freight agent workflow.</w:t>
      </w:r>
    </w:p>
    <w:p>
      <w:pPr>
        <w:spacing w:after="0" w:line="130" w:lineRule="exact"/>
        <w:rPr>
          <w:rFonts w:ascii="Arial" w:cs="Arial" w:eastAsia="Arial" w:hAnsi="Arial"/>
          <w:sz w:val="18"/>
          <w:szCs w:val="18"/>
          <w:color w:val="auto"/>
        </w:rPr>
      </w:pPr>
    </w:p>
    <w:p>
      <w:pPr>
        <w:ind w:left="1540" w:right="46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Analytics: A suite of business intelligence applications powered by Microsoft Power BI for independent sales agents and BCO Independent Contractors to access information and identify trends in their businesses.</w:t>
      </w:r>
    </w:p>
    <w:p>
      <w:pPr>
        <w:spacing w:after="0" w:line="75" w:lineRule="exact"/>
        <w:rPr>
          <w:rFonts w:ascii="Arial" w:cs="Arial" w:eastAsia="Arial" w:hAnsi="Arial"/>
          <w:sz w:val="18"/>
          <w:szCs w:val="18"/>
          <w:color w:val="auto"/>
        </w:rPr>
      </w:pPr>
    </w:p>
    <w:p>
      <w:pPr>
        <w:ind w:left="1540" w:right="44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Landstar-proprietary pricing tools developed with data scientists using historical Company information and third party pricing data to provide independent commission sales agents with near real time market data.</w:t>
      </w:r>
    </w:p>
    <w:p>
      <w:pPr>
        <w:spacing w:after="0" w:line="75" w:lineRule="exact"/>
        <w:rPr>
          <w:rFonts w:ascii="Arial" w:cs="Arial" w:eastAsia="Arial" w:hAnsi="Arial"/>
          <w:sz w:val="18"/>
          <w:szCs w:val="18"/>
          <w:color w:val="auto"/>
        </w:rPr>
      </w:pPr>
    </w:p>
    <w:p>
      <w:pPr>
        <w:ind w:left="1540" w:right="40" w:hanging="331"/>
        <w:spacing w:after="0" w:line="226"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LandstarOne</w:t>
      </w:r>
      <w:r>
        <w:rPr>
          <w:rFonts w:ascii="Arial" w:cs="Arial" w:eastAsia="Arial" w:hAnsi="Arial"/>
          <w:sz w:val="25"/>
          <w:szCs w:val="25"/>
          <w:color w:val="auto"/>
          <w:vertAlign w:val="superscript"/>
        </w:rPr>
        <w:t>™</w:t>
      </w:r>
      <w:r>
        <w:rPr>
          <w:rFonts w:ascii="Arial" w:cs="Arial" w:eastAsia="Arial" w:hAnsi="Arial"/>
          <w:sz w:val="18"/>
          <w:szCs w:val="18"/>
          <w:color w:val="auto"/>
        </w:rPr>
        <w:t>: Mobile application available to BCO Independent Contractors and third party motor carriers providing a one-stop location for available loading opportunities as well as fueling station locations, retail fuel prices, fuel prices net of Landstar-arranged discounts and applicable state fuel tax credits, and equipment inspection site locations.</w:t>
      </w:r>
    </w:p>
    <w:p>
      <w:pPr>
        <w:spacing w:after="0" w:line="109"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Clarity: Landstar’s proprietary freight tracking exception management tool that incorporates geo-positional data from, among other sources, electronic logging devices, trailer tracking devices and third party data aggregators.</w:t>
      </w:r>
    </w:p>
    <w:p>
      <w:pPr>
        <w:spacing w:after="0" w:line="75" w:lineRule="exact"/>
        <w:rPr>
          <w:rFonts w:ascii="Arial" w:cs="Arial" w:eastAsia="Arial" w:hAnsi="Arial"/>
          <w:sz w:val="18"/>
          <w:szCs w:val="18"/>
          <w:color w:val="auto"/>
        </w:rPr>
      </w:pPr>
    </w:p>
    <w:p>
      <w:pPr>
        <w:ind w:left="1540" w:right="44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Trailer Tools: Applications empowering independent commission sales agents through the automation of the Company’s trailer request and trailer pool management processes.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Application that automates the credit request process for independent commission sales agents.</w:t>
      </w:r>
    </w:p>
    <w:p>
      <w:pPr>
        <w:spacing w:after="0" w:line="117"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Since the launch of this initiative in 2016, the Company has invested approximately $90 million in this strategic development effort, including approximately $27 million in fiscal year 2021.</w:t>
      </w:r>
    </w:p>
    <w:p>
      <w:pPr>
        <w:spacing w:after="0" w:line="62" w:lineRule="exact"/>
        <w:rPr>
          <w:sz w:val="20"/>
          <w:szCs w:val="20"/>
          <w:color w:val="auto"/>
        </w:rPr>
      </w:pPr>
    </w:p>
    <w:p>
      <w:pPr>
        <w:jc w:val="both"/>
        <w:ind w:left="560" w:right="200" w:firstLine="423"/>
        <w:spacing w:after="0" w:line="263" w:lineRule="auto"/>
        <w:rPr>
          <w:sz w:val="20"/>
          <w:szCs w:val="20"/>
          <w:color w:val="auto"/>
        </w:rPr>
      </w:pPr>
      <w:r>
        <w:rPr>
          <w:rFonts w:ascii="Arial" w:cs="Arial" w:eastAsia="Arial" w:hAnsi="Arial"/>
          <w:sz w:val="18"/>
          <w:szCs w:val="18"/>
          <w:color w:val="auto"/>
        </w:rPr>
        <w:t>The Company’s information technology systems used in connection with its operations are located in Jacksonville, Florida and, to a lesser extent, in Rockford, Illinois. In addition, the Company utilizes several third party data centers throughout the U.S. Landstar relies, in the regular course of its business, on the proper operation of its information technology systems.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Services</w:t>
      </w:r>
    </w:p>
    <w:p>
      <w:pPr>
        <w:spacing w:after="0" w:line="117" w:lineRule="exact"/>
        <w:rPr>
          <w:sz w:val="20"/>
          <w:szCs w:val="20"/>
          <w:color w:val="auto"/>
        </w:rPr>
      </w:pPr>
    </w:p>
    <w:p>
      <w:pPr>
        <w:ind w:left="560" w:right="160" w:firstLine="423"/>
        <w:spacing w:after="0" w:line="301" w:lineRule="auto"/>
        <w:rPr>
          <w:sz w:val="20"/>
          <w:szCs w:val="20"/>
          <w:color w:val="auto"/>
        </w:rPr>
      </w:pPr>
      <w:r>
        <w:rPr>
          <w:rFonts w:ascii="Arial" w:cs="Arial" w:eastAsia="Arial" w:hAnsi="Arial"/>
          <w:sz w:val="16"/>
          <w:szCs w:val="16"/>
          <w:color w:val="auto"/>
        </w:rPr>
        <w:t>The Company provides many administrative support services to its network of independent commission sales agents, third party capacity providers and customers. Management believes that the mobile and digital applications purchased or developed and maintained by the Company and its administrative support services provide operational and financial advantages to its independent commission sales agents, third party capacity providers and customers. These, in turn, enhance the operational and financial efficiency of all aspects of the network.</w:t>
      </w:r>
    </w:p>
    <w:p>
      <w:pPr>
        <w:sectPr>
          <w:pgSz w:w="11900" w:h="16838" w:orient="portrait"/>
          <w:cols w:equalWidth="0" w:num="1">
            <w:col w:w="11120"/>
          </w:cols>
          <w:pgMar w:left="320" w:top="486" w:right="459" w:bottom="1440" w:gutter="0" w:footer="0" w:header="0"/>
        </w:sectPr>
      </w:pP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73" w:lineRule="auto"/>
        <w:rPr>
          <w:sz w:val="20"/>
          <w:szCs w:val="20"/>
          <w:color w:val="auto"/>
        </w:rPr>
      </w:pPr>
      <w:r>
        <w:rPr>
          <w:rFonts w:ascii="Arial" w:cs="Arial" w:eastAsia="Arial" w:hAnsi="Arial"/>
          <w:sz w:val="17"/>
          <w:szCs w:val="17"/>
          <w:color w:val="auto"/>
        </w:rPr>
        <w:t>Administrative support services that provide operational and financial advantages to the network include customer contract administration, customer credit review and approvals, pricing, customer billing, accounts receivable collections, third party capacity settlement, operator and equipment safety and compliance management for our network of BCO Independent Contractors, insurance claims handling, coordination of vendor discount programs and third party capacity sourcing programs. Marketing and advertising strategies are also provided by the Company. The Company’s practices of accepting customer credit risk and paying its agents and carriers promptly provides a significant competitive advantage to the Company in comparison to less capitalized competitors.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560" w:right="340" w:firstLine="423"/>
        <w:spacing w:after="0" w:line="311" w:lineRule="auto"/>
        <w:rPr>
          <w:sz w:val="20"/>
          <w:szCs w:val="20"/>
          <w:color w:val="auto"/>
        </w:rPr>
      </w:pPr>
      <w:r>
        <w:rPr>
          <w:rFonts w:ascii="Arial" w:cs="Arial" w:eastAsia="Arial" w:hAnsi="Arial"/>
          <w:sz w:val="16"/>
          <w:szCs w:val="16"/>
          <w:color w:val="auto"/>
        </w:rPr>
        <w:t>Landstar competes primarily in the transportation and logistics services industry with truckload carriers, third party logistics companies, digital freight brokers, intermodal transportation and logistics service providers, railroads, less-than-truckload carriers and other asset-light transportation and logistics service providers. The transportation and logistics services industry is extremely competitive and fragmented.</w:t>
      </w:r>
    </w:p>
    <w:p>
      <w:pPr>
        <w:spacing w:after="0" w:line="41"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Management believes that competition for freight transported by the Company is based on service, efficiency and freight rates, which are influenced significantly by the economic environment, particularly the amount of available transportation capacity and freight demand. Management believes that Landstar’s overall size, service offerings and availability of a wide range of equipment, together with its geographically dispersed local independent agent network, present the Company with significant competitive advantages over many transportation and logistics service providers.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Self-Insured Claims</w:t>
      </w:r>
    </w:p>
    <w:p>
      <w:pPr>
        <w:spacing w:after="0" w:line="117"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Potential liability associated with accidents in the trucking industry is severe and occurrences are unpredictable. For periods prior to May 1, 2019, Landstar retains liability for commercial trucking claims up to $5 million per occurrence and maintains various third party insurance arrangements for liabilities in excess of its $5 million self-insured retention. Effective May 1, 2019, the Company entered into a new three year commercial auto liability insurance arrangement for losses incurred between $5 million and $10 million (the “Initial Excess Policy”) with a third party insurance company. For commercial trucking claims incurred on or after May 1, 2019 through April 30, 2022, the Initial Excess Policy provides for a limit for a single loss of $5 million, with an aggregate limit of $15 million for each policy year, an aggregate limit of $20 million for the thirty-six month term ended April 30, 2022, and options to increase such aggregate limits for pre-established amounts of additional premium. If aggregate losses under the Initial Excess Policy exceed either the annual aggregate limit or the aggregate limit for the three year period ending April 30, 2022, and the Company did not elect to increase such aggregate limits for a pre-established amount of additional premium, Landstar would retain liability of up to $10 million per occurrence, inclusive of its $5 million self-insured retention for commercial trucking claims during the remainder of the applicable policy year(s). Moreover, as a result of the Company’s aggregate loss experience since it entered into the Initial Excess Policy, the Initial Excess Policy required the Company to pay additional premium relating to its existing coverage up to a pre-established maximum amount of $3.5 million, which was provided for in insurance and claims costs for the Company’s 2020 fiscal first quarter.</w:t>
      </w:r>
    </w:p>
    <w:p>
      <w:pPr>
        <w:spacing w:after="0" w:line="76" w:lineRule="exact"/>
        <w:rPr>
          <w:sz w:val="20"/>
          <w:szCs w:val="20"/>
          <w:color w:val="auto"/>
        </w:rPr>
      </w:pPr>
    </w:p>
    <w:p>
      <w:pPr>
        <w:ind w:left="560" w:right="20" w:firstLine="423"/>
        <w:spacing w:after="0" w:line="284" w:lineRule="auto"/>
        <w:rPr>
          <w:sz w:val="20"/>
          <w:szCs w:val="20"/>
          <w:color w:val="auto"/>
        </w:rPr>
      </w:pPr>
      <w:r>
        <w:rPr>
          <w:rFonts w:ascii="Arial" w:cs="Arial" w:eastAsia="Arial" w:hAnsi="Arial"/>
          <w:sz w:val="16"/>
          <w:szCs w:val="16"/>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With respect to the annual policy year ending April 30, 2021, as compared to the annual policy year ended April 30, 2020, the Company experienced an increase of approximately</w:t>
      </w:r>
    </w:p>
    <w:p>
      <w:pPr>
        <w:spacing w:after="0" w:line="1"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$14 million, or over 170%, in the premiums charged by third party insurance companies to the Company for excess coverage for commercial trucking liabilities in excess of $10 million. Effective May 1, 2021, with respect to the annual policy year ending April 30, 2022, as compared to the annual policy year ended April 30, 2021, the Company experienced an increase of approximately $3 million, or 19%, in the premiums charged by third party insurance companies to the Company for excess coverage for commercial trucking liabilities in excess of $10 million. Moreover, the Company increased the level of its financial</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87" w:lineRule="auto"/>
        <w:rPr>
          <w:sz w:val="20"/>
          <w:szCs w:val="20"/>
          <w:color w:val="auto"/>
        </w:rPr>
      </w:pPr>
      <w:r>
        <w:rPr>
          <w:rFonts w:ascii="Arial" w:cs="Arial" w:eastAsia="Arial" w:hAnsi="Arial"/>
          <w:sz w:val="16"/>
          <w:szCs w:val="16"/>
          <w:color w:val="auto"/>
        </w:rPr>
        <w:t>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hypothetical claim in the amount of $100 million incurred during the annual policy year ending April 30, 2022, the Company would have an aggregate financial exposure of approximately $18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60" w:lineRule="exact"/>
        <w:rPr>
          <w:sz w:val="20"/>
          <w:szCs w:val="20"/>
          <w:color w:val="auto"/>
        </w:rPr>
      </w:pPr>
    </w:p>
    <w:p>
      <w:pPr>
        <w:ind w:left="560" w:right="40" w:firstLine="423"/>
        <w:spacing w:after="0" w:line="290" w:lineRule="auto"/>
        <w:rPr>
          <w:sz w:val="20"/>
          <w:szCs w:val="20"/>
          <w:color w:val="auto"/>
        </w:rPr>
      </w:pPr>
      <w:r>
        <w:rPr>
          <w:rFonts w:ascii="Arial" w:cs="Arial" w:eastAsia="Arial" w:hAnsi="Arial"/>
          <w:sz w:val="16"/>
          <w:szCs w:val="16"/>
          <w:color w:val="auto"/>
        </w:rPr>
        <w:t>Further, the Company retains liability of up to $1,000,000 for each general liability claim, up to $250,000 for each workers’ compensation claim and up to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Certain of the Operating Subsidiaries are considered motor carriers and/or brokers authorized to arrange for transportation services by motor carriers which are regulated by the Federal Motor Carrier Safety Administration (the “FMCSA”) and by various state agencies. The FMCSA has broad regulatory powers with respect to activities such as motor carrier operations, practices, periodic financial reporting and insurance. Subject to federal and state regulatory authorities or regulation, the Company’s capacity providers may transport most types of freight to and from any point in the United States over any route selected.</w:t>
      </w:r>
    </w:p>
    <w:p>
      <w:pPr>
        <w:spacing w:after="0" w:line="80" w:lineRule="exact"/>
        <w:rPr>
          <w:sz w:val="20"/>
          <w:szCs w:val="20"/>
          <w:color w:val="auto"/>
        </w:rPr>
      </w:pPr>
    </w:p>
    <w:p>
      <w:pPr>
        <w:ind w:left="560" w:right="20" w:firstLine="423"/>
        <w:spacing w:after="0" w:line="279" w:lineRule="auto"/>
        <w:rPr>
          <w:sz w:val="20"/>
          <w:szCs w:val="20"/>
          <w:color w:val="auto"/>
        </w:rPr>
      </w:pPr>
      <w:r>
        <w:rPr>
          <w:rFonts w:ascii="Arial" w:cs="Arial" w:eastAsia="Arial" w:hAnsi="Arial"/>
          <w:sz w:val="17"/>
          <w:szCs w:val="17"/>
          <w:color w:val="auto"/>
        </w:rPr>
        <w:t>Interstate motor carrier operations are subject to safety requirements prescribed by the FMCSA. Each truck operator, whether working as a BCO Independent Contractor or for a Truck Brokerage Carrier, is required to have a commercial driver’s license and may be subject to mandatory drug and alcohol testing. The FMCSA’s commercial driver’s license and drug and alcohol testing requirements have not adversely affected the Company’s ability to source the capacity necessary to meet its customers’ transportation needs.</w:t>
      </w:r>
    </w:p>
    <w:p>
      <w:pPr>
        <w:spacing w:after="0" w:line="63" w:lineRule="exact"/>
        <w:rPr>
          <w:sz w:val="20"/>
          <w:szCs w:val="20"/>
          <w:color w:val="auto"/>
        </w:rPr>
      </w:pPr>
    </w:p>
    <w:p>
      <w:pPr>
        <w:jc w:val="both"/>
        <w:ind w:left="560" w:right="60" w:firstLine="423"/>
        <w:spacing w:after="0" w:line="263" w:lineRule="auto"/>
        <w:rPr>
          <w:sz w:val="20"/>
          <w:szCs w:val="20"/>
          <w:color w:val="auto"/>
        </w:rPr>
      </w:pPr>
      <w:r>
        <w:rPr>
          <w:rFonts w:ascii="Arial" w:cs="Arial" w:eastAsia="Arial" w:hAnsi="Arial"/>
          <w:sz w:val="18"/>
          <w:szCs w:val="18"/>
          <w:color w:val="auto"/>
        </w:rPr>
        <w:t>In addition, FMCSA mandated the use of electronic logging devices (“ELDs”) in certain over-the-road commercial motor vehicles effective December 18, 2017. The FMCSA’s ELD mandate has not adversely affected the size of the Company’s fleet of BCO Independent Contractors or its ability to source truck capacity provided by Truck Brokerage Carriers.</w:t>
      </w:r>
    </w:p>
    <w:p>
      <w:pPr>
        <w:spacing w:after="0" w:line="76" w:lineRule="exact"/>
        <w:rPr>
          <w:sz w:val="20"/>
          <w:szCs w:val="20"/>
          <w:color w:val="auto"/>
        </w:rPr>
      </w:pPr>
    </w:p>
    <w:p>
      <w:pPr>
        <w:ind w:left="560" w:firstLine="423"/>
        <w:spacing w:after="0" w:line="290" w:lineRule="auto"/>
        <w:rPr>
          <w:sz w:val="20"/>
          <w:szCs w:val="20"/>
          <w:color w:val="auto"/>
        </w:rPr>
      </w:pPr>
      <w:r>
        <w:rPr>
          <w:rFonts w:ascii="Arial" w:cs="Arial" w:eastAsia="Arial" w:hAnsi="Arial"/>
          <w:sz w:val="16"/>
          <w:szCs w:val="16"/>
          <w:color w:val="auto"/>
        </w:rPr>
        <w:t>Additionally,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Operating 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 In addition, because the U.S. government is one of the Company’s customers, the Company must comply with and is affected by laws and regulations relating to doing business with the federal government.</w:t>
      </w:r>
    </w:p>
    <w:p>
      <w:pPr>
        <w:spacing w:after="0" w:line="57" w:lineRule="exact"/>
        <w:rPr>
          <w:sz w:val="20"/>
          <w:szCs w:val="20"/>
          <w:color w:val="auto"/>
        </w:rPr>
      </w:pPr>
    </w:p>
    <w:p>
      <w:pPr>
        <w:ind w:left="560" w:right="460" w:firstLine="423"/>
        <w:spacing w:after="0" w:line="263" w:lineRule="auto"/>
        <w:rPr>
          <w:sz w:val="20"/>
          <w:szCs w:val="20"/>
          <w:color w:val="auto"/>
        </w:rPr>
      </w:pPr>
      <w:r>
        <w:rPr>
          <w:rFonts w:ascii="Arial" w:cs="Arial" w:eastAsia="Arial" w:hAnsi="Arial"/>
          <w:sz w:val="18"/>
          <w:szCs w:val="18"/>
          <w:color w:val="auto"/>
        </w:rPr>
        <w:t>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changes in operating practices, by changing the demand for motor carrier services or the cost of providing truckload or other transportation or logistics services, or by adversely impacting the number of available commercial truck operators.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a discussion of the risks associated with these laws and regulations, see Part I, Item 1A, “Risk Factors.”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Landstar’s operations are subject to seasonal trends common to the trucking industry. Truckload volumes for the quarter ending in March are typically lower than for the quarters ending in June, September and December.</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11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We believe our employees are among our most important resources and are critical to our continued success. We focus significant attention on attracting and retaining talented and experienced individuals to manage and support our operations. To attract and retain top talent in our highly competitive industry, we have designed our compensation and benefits programs to provide a balanced and effective reward structure. Our short and long-term incentive programs are aligned with key business objectives and are intended to motivate strong performance. Our employees are eligible for medical, dental and vision insurance, a 401(k) savings/retirement plan, flexible time-off, employer-provided life and disability insurance, our wellness program, our tuition reimbursement program, and an array of voluntary benefits designed to meet individual needs. We engage firms nationally recognized in the benefits area to objectively evaluate our programs and benchmark them against peers and other similarly situated organizations.</w:t>
      </w:r>
    </w:p>
    <w:p>
      <w:pPr>
        <w:spacing w:after="0" w:line="70" w:lineRule="exact"/>
        <w:rPr>
          <w:sz w:val="20"/>
          <w:szCs w:val="20"/>
          <w:color w:val="auto"/>
        </w:rPr>
      </w:pPr>
    </w:p>
    <w:p>
      <w:pPr>
        <w:ind w:left="560" w:right="80" w:firstLine="423"/>
        <w:spacing w:after="0" w:line="257" w:lineRule="auto"/>
        <w:rPr>
          <w:sz w:val="20"/>
          <w:szCs w:val="20"/>
          <w:color w:val="auto"/>
        </w:rPr>
      </w:pPr>
      <w:r>
        <w:rPr>
          <w:rFonts w:ascii="Arial" w:cs="Arial" w:eastAsia="Arial" w:hAnsi="Arial"/>
          <w:sz w:val="18"/>
          <w:szCs w:val="18"/>
          <w:color w:val="auto"/>
        </w:rPr>
        <w:t>Landstar seeks to compensate employees in a manner that is fair, consistent, and reflective of the external market and provides recognition for the achievement of individual goals, corporate objectives, and professional competencies while maintaining fiscal responsibility. To help us achieve this goal, in 2021, Landstar completed a review of employee compensation that included the establishment of new pay grades and applicable salary ranges for all exempt positions. This review followed a similar review of employee compensation for all IT positions completed in 2020 and a review of all non-exempt positions completed in 2019.</w:t>
      </w:r>
    </w:p>
    <w:p>
      <w:pPr>
        <w:spacing w:after="0" w:line="80"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As of December 25, 2021, the Company and its subsidiaries employed 1,399 individuals. Three Landstar Ranger drivers (out of a Company total of approximately 11,864 drivers for BCO Independent Contractors) are members of the International Brotherhood of Teamsters. The turnover rate in 2021 for Landstar employees located in the United States and Canada was 13% in 2021, 9% in 2020 and 12% in 2019. The Company considers relations with its employees to be good.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identified the following employee-focused goals:</w:t>
      </w:r>
    </w:p>
    <w:p>
      <w:pPr>
        <w:spacing w:after="0" w:line="131" w:lineRule="exact"/>
        <w:rPr>
          <w:sz w:val="20"/>
          <w:szCs w:val="20"/>
          <w:color w:val="auto"/>
        </w:rPr>
      </w:pPr>
    </w:p>
    <w:p>
      <w:pPr>
        <w:ind w:left="1540" w:right="740" w:hanging="331"/>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and maintain an environment in which continuous improvement is encouraged and expected by everyone within the organization;</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each Landstar employee in the Company’s vision to inspire and empower entrepreneurs to succeed in the highly competitive, technology driven transportation industry;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Ensure that all Landstar employees fully understand the requirements of their job and the role their job plays within Landstar.</w:t>
      </w:r>
    </w:p>
    <w:p>
      <w:pPr>
        <w:spacing w:after="0" w:line="129" w:lineRule="exact"/>
        <w:rPr>
          <w:sz w:val="20"/>
          <w:szCs w:val="20"/>
          <w:color w:val="auto"/>
        </w:rPr>
      </w:pPr>
    </w:p>
    <w:p>
      <w:pPr>
        <w:ind w:left="560" w:right="20" w:firstLine="423"/>
        <w:spacing w:after="0" w:line="275" w:lineRule="auto"/>
        <w:rPr>
          <w:sz w:val="20"/>
          <w:szCs w:val="20"/>
          <w:color w:val="auto"/>
        </w:rPr>
      </w:pPr>
      <w:r>
        <w:rPr>
          <w:rFonts w:ascii="Arial" w:cs="Arial" w:eastAsia="Arial" w:hAnsi="Arial"/>
          <w:sz w:val="17"/>
          <w:szCs w:val="17"/>
          <w:color w:val="auto"/>
        </w:rPr>
        <w:t>Landstar formally monitors employee satisfaction and engagement through periodic employee satisfaction and engagement surveys. The Company also uses employee roundtable and focus group discussions as well as exit interviews to monitor engagement and satisfaction. Landstar provides comprehensive professional development opportunities to employees at all levels. Various learning tracks include Leadership, Workplace Safety &amp; Security, Customer Service and other core skills. Courses are delivered by Landstar’s team of Association for Talent Development (ATD) certified trainers through both on-line and classroom settings.</w:t>
      </w:r>
    </w:p>
    <w:p>
      <w:pPr>
        <w:spacing w:after="0" w:line="68" w:lineRule="exact"/>
        <w:rPr>
          <w:sz w:val="20"/>
          <w:szCs w:val="20"/>
          <w:color w:val="auto"/>
        </w:rPr>
      </w:pPr>
    </w:p>
    <w:p>
      <w:pPr>
        <w:ind w:left="560" w:right="60" w:firstLine="423"/>
        <w:spacing w:after="0" w:line="254" w:lineRule="auto"/>
        <w:rPr>
          <w:sz w:val="20"/>
          <w:szCs w:val="20"/>
          <w:color w:val="auto"/>
        </w:rPr>
      </w:pPr>
      <w:r>
        <w:rPr>
          <w:rFonts w:ascii="Arial" w:cs="Arial" w:eastAsia="Arial" w:hAnsi="Arial"/>
          <w:sz w:val="18"/>
          <w:szCs w:val="18"/>
          <w:color w:val="auto"/>
        </w:rPr>
        <w:t>At our core, Landstar is about providing opportunity to people regardless of background. We do not tolerate racism or discriminatory behavior and strongly believe that diversity and inclusion make us stronger as a company. The Company reaffirms its commitment to equal employment opportunity for all people. The Company complies with all applicable federal and state laws pertaining to equal employment opportunity and affirmative action. It is our philosophy to treat our employees and applicants fairly without regard to race, color, sex, religion, national origin, disability, present, past, or future service in a branch of the uniformed services of the United States, citizenship, sexual orientation or gender identity. Our management teams and all of our employees are expected to exhibit and promote honest, ethical and respectful conduct in the workplace. All of our employees must adhere to a code of ethics and employee compliance code that set standards for appropriate behavior and includes required annual training.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20" w:firstLine="423"/>
        <w:spacing w:after="0" w:line="277" w:lineRule="auto"/>
        <w:rPr>
          <w:sz w:val="20"/>
          <w:szCs w:val="20"/>
          <w:color w:val="auto"/>
        </w:rPr>
      </w:pPr>
      <w:r>
        <w:rPr>
          <w:rFonts w:ascii="Arial" w:cs="Arial" w:eastAsia="Arial" w:hAnsi="Arial"/>
          <w:sz w:val="18"/>
          <w:szCs w:val="18"/>
          <w:color w:val="auto"/>
        </w:rPr>
        <w:t>During 2020 and 2021, we implemented the following steps to address the safety and health of our employees, BCO Independent Contractors, and independent sales agents amidst the COVID-19 pandemic:</w:t>
      </w:r>
    </w:p>
    <w:p>
      <w:pPr>
        <w:spacing w:after="0" w:line="76" w:lineRule="exact"/>
        <w:rPr>
          <w:sz w:val="20"/>
          <w:szCs w:val="20"/>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Shifted the vast majority of our employees to a remote work environment;</w:t>
      </w:r>
    </w:p>
    <w:p>
      <w:pPr>
        <w:spacing w:after="0" w:line="130" w:lineRule="exact"/>
        <w:rPr>
          <w:rFonts w:ascii="Arial" w:cs="Arial" w:eastAsia="Arial" w:hAnsi="Arial"/>
          <w:sz w:val="18"/>
          <w:szCs w:val="18"/>
          <w:color w:val="auto"/>
        </w:rPr>
      </w:pPr>
    </w:p>
    <w:p>
      <w:pPr>
        <w:ind w:left="1540" w:right="100" w:hanging="331"/>
        <w:spacing w:after="0" w:line="308"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Initiated regular communication to employees regarding impacts of the COVID-19 pandemic, including health and safety protocols and procedures to address actual and suspected COVID-19 cases and potential exposure of our employees;</w:t>
      </w:r>
    </w:p>
    <w:p>
      <w:pPr>
        <w:spacing w:after="0" w:line="51" w:lineRule="exact"/>
        <w:rPr>
          <w:rFonts w:ascii="Arial" w:cs="Arial" w:eastAsia="Arial" w:hAnsi="Arial"/>
          <w:sz w:val="17"/>
          <w:szCs w:val="17"/>
          <w:color w:val="auto"/>
        </w:rPr>
      </w:pPr>
    </w:p>
    <w:p>
      <w:pPr>
        <w:ind w:left="1540" w:right="180" w:hanging="331"/>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physical distancing procedures and providing personal protective equipment and cleaning supplies for employees who need to be on-site;</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cleaning protocols at our offices;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work spaces with plexiglass dividers, rearranged office layouts and touchless faucets;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the use of virtual interactions in all aspects of our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Cancelled or modified various events, including the annual agent convention and BCO All-Star Celebration;</w:t>
      </w:r>
    </w:p>
    <w:p>
      <w:pPr>
        <w:spacing w:after="0" w:line="130" w:lineRule="exact"/>
        <w:rPr>
          <w:rFonts w:ascii="Arial" w:cs="Arial" w:eastAsia="Arial" w:hAnsi="Arial"/>
          <w:sz w:val="18"/>
          <w:szCs w:val="18"/>
          <w:color w:val="auto"/>
        </w:rPr>
      </w:pPr>
    </w:p>
    <w:p>
      <w:pPr>
        <w:jc w:val="both"/>
        <w:ind w:left="1540" w:right="100" w:hanging="331"/>
        <w:spacing w:after="0" w:line="263"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Instituted a pandemic relief program whereby Landstar paid an extra $50 for each load delivered by a BCO Independent Contractor with a confirmed delivery date from April 1, 2020 through May 30, 2020 to both the BCO Independent Contractor hauling the load and the independent sales agent dispatching the load;</w:t>
      </w:r>
    </w:p>
    <w:p>
      <w:pPr>
        <w:spacing w:after="0" w:line="89"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Provided up to $2,000 to a BCO Independent Contractor who tested positive for COVID-19 or was placed under a mandatory quarantine by a public health authority;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Provided paid time-off for employees directly impacted by COVID-19, and instructing those who are infected to stay home; and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non-essential business travel for employees.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Operational Risks</w:t>
      </w:r>
    </w:p>
    <w:p>
      <w:pPr>
        <w:spacing w:after="0" w:line="121" w:lineRule="exact"/>
        <w:rPr>
          <w:sz w:val="20"/>
          <w:szCs w:val="20"/>
          <w:color w:val="auto"/>
        </w:rPr>
      </w:pPr>
    </w:p>
    <w:p>
      <w:pPr>
        <w:ind w:left="560" w:right="40" w:firstLine="423"/>
        <w:spacing w:after="0" w:line="287" w:lineRule="auto"/>
        <w:rPr>
          <w:sz w:val="20"/>
          <w:szCs w:val="20"/>
          <w:color w:val="auto"/>
        </w:rPr>
      </w:pPr>
      <w:r>
        <w:rPr>
          <w:rFonts w:ascii="Arial" w:cs="Arial" w:eastAsia="Arial" w:hAnsi="Arial"/>
          <w:sz w:val="16"/>
          <w:szCs w:val="16"/>
          <w:i w:val="1"/>
          <w:iCs w:val="1"/>
          <w:color w:val="auto"/>
        </w:rPr>
        <w:t xml:space="preserve">Increased severity or frequency of accidents and other claims or a material unfavorable development of existing claims. </w:t>
      </w:r>
      <w:r>
        <w:rPr>
          <w:rFonts w:ascii="Arial" w:cs="Arial" w:eastAsia="Arial" w:hAnsi="Arial"/>
          <w:sz w:val="16"/>
          <w:szCs w:val="16"/>
          <w:color w:val="auto"/>
        </w:rPr>
        <w:t>As noted above in</w:t>
      </w:r>
      <w:r>
        <w:rPr>
          <w:rFonts w:ascii="Arial" w:cs="Arial" w:eastAsia="Arial" w:hAnsi="Arial"/>
          <w:sz w:val="16"/>
          <w:szCs w:val="16"/>
          <w:i w:val="1"/>
          <w:iCs w:val="1"/>
          <w:color w:val="auto"/>
        </w:rPr>
        <w:t xml:space="preserve"> </w:t>
      </w:r>
      <w:r>
        <w:rPr>
          <w:rFonts w:ascii="Arial" w:cs="Arial" w:eastAsia="Arial" w:hAnsi="Arial"/>
          <w:sz w:val="16"/>
          <w:szCs w:val="16"/>
          <w:color w:val="auto"/>
        </w:rPr>
        <w:t>Item 1, “Business — Factors Significant to the Company’s Operations — Self-Insured Claims,” potential liability associated with accidents in the trucking industry is severe and occurrences are unpredictable. For periods prior to May 1, 2019, Landstar retains liability for commercial trucking claims up to $5 million per occurrence and maintains various third party insurance arrangements for liabilities in excess of its $5 million self-insured retention. Effective May 1, 2019, the Company entered into a new three year commercial auto liability insurance arrangement for losses incurred between $5 million and $10 million (the “Initial Excess Policy”) with a third party insurance company. For commercial trucking claims incurred on or after May 1, 2019 through April 30, 2022, the Initial Excess Policy provides for a limit for a single loss of $5 million, with an aggregate limit of $15 million for each policy year, an aggregate limit of $20 million for the thirty-six month term ended April 30, 2022, and options to increase such aggregate limits for pre-established amounts of additional premium. If aggregate losses under the Initial Excess Policy exceed either the annual aggregate limit or the aggregate limit for the three year period ending April 30, 2022, and the Company did not elect to increase such aggregate limits for a pre-established amount of additional premium, Landstar would retain liability of up to $10 million per occurrence, inclusive of its $5 million self-insured retention for commercial trucking claims during the remainder of the applicable policy year(s).</w:t>
      </w:r>
    </w:p>
    <w:p>
      <w:pPr>
        <w:spacing w:after="0" w:line="60" w:lineRule="exact"/>
        <w:rPr>
          <w:sz w:val="20"/>
          <w:szCs w:val="20"/>
          <w:color w:val="auto"/>
        </w:rPr>
      </w:pPr>
    </w:p>
    <w:p>
      <w:pPr>
        <w:ind w:left="560" w:firstLine="423"/>
        <w:spacing w:after="0" w:line="284" w:lineRule="auto"/>
        <w:rPr>
          <w:sz w:val="20"/>
          <w:szCs w:val="20"/>
          <w:color w:val="auto"/>
        </w:rPr>
      </w:pPr>
      <w:r>
        <w:rPr>
          <w:rFonts w:ascii="Arial" w:cs="Arial" w:eastAsia="Arial" w:hAnsi="Arial"/>
          <w:sz w:val="16"/>
          <w:szCs w:val="16"/>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With respect to the annual policy year ending April 30, 2021, as compared to the annual policy year ended April 30, 2020, the Company experienced an increase of approximately</w:t>
      </w:r>
    </w:p>
    <w:p>
      <w:pPr>
        <w:spacing w:after="0" w:line="1" w:lineRule="exact"/>
        <w:rPr>
          <w:sz w:val="20"/>
          <w:szCs w:val="20"/>
          <w:color w:val="auto"/>
        </w:rPr>
      </w:pPr>
    </w:p>
    <w:p>
      <w:pPr>
        <w:ind w:left="560" w:right="380"/>
        <w:spacing w:after="0" w:line="260" w:lineRule="auto"/>
        <w:rPr>
          <w:sz w:val="20"/>
          <w:szCs w:val="20"/>
          <w:color w:val="auto"/>
        </w:rPr>
      </w:pPr>
      <w:r>
        <w:rPr>
          <w:rFonts w:ascii="Arial" w:cs="Arial" w:eastAsia="Arial" w:hAnsi="Arial"/>
          <w:sz w:val="18"/>
          <w:szCs w:val="18"/>
          <w:color w:val="auto"/>
        </w:rPr>
        <w:t>$14 million, or over 170%, in the premiums charged by third party insurance companies to the Company for excess coverage for commercial trucking liabilities in excess of $10 million. Effective May 1, 2021, with respect to the annual policy year ending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color w:val="auto"/>
        </w:rPr>
        <w:t>April 30, 2022, as compared to the annual policy year ended April 30, 2021, the Company experienced an increase of approximately $3 million, or 19%, in the premiums charged by third party insurance companies to the Company for excess coverage for commercial trucking liabilities in excess of $10 million. Moreover, the Company increased the level of its financial exposure to commercial trucking claims in excess of</w:t>
      </w:r>
    </w:p>
    <w:p>
      <w:pPr>
        <w:spacing w:after="0" w:line="2" w:lineRule="exact"/>
        <w:rPr>
          <w:sz w:val="20"/>
          <w:szCs w:val="20"/>
          <w:color w:val="auto"/>
        </w:rPr>
      </w:pPr>
    </w:p>
    <w:p>
      <w:pPr>
        <w:ind w:left="560" w:right="20"/>
        <w:spacing w:after="0" w:line="267" w:lineRule="auto"/>
        <w:rPr>
          <w:sz w:val="20"/>
          <w:szCs w:val="20"/>
          <w:color w:val="auto"/>
        </w:rPr>
      </w:pPr>
      <w:r>
        <w:rPr>
          <w:rFonts w:ascii="Arial" w:cs="Arial" w:eastAsia="Arial" w:hAnsi="Arial"/>
          <w:sz w:val="17"/>
          <w:szCs w:val="17"/>
          <w:color w:val="auto"/>
        </w:rPr>
        <w:t>$10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hypothetical claim in the amount of $100 million incurred during the annual policy year ending April 30, 2022, the Company would have an aggregate financial exposure of approximately $18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76" w:lineRule="exact"/>
        <w:rPr>
          <w:sz w:val="20"/>
          <w:szCs w:val="20"/>
          <w:color w:val="auto"/>
        </w:rPr>
      </w:pPr>
    </w:p>
    <w:p>
      <w:pPr>
        <w:ind w:left="560" w:right="60" w:firstLine="423"/>
        <w:spacing w:after="0" w:line="290" w:lineRule="auto"/>
        <w:rPr>
          <w:sz w:val="20"/>
          <w:szCs w:val="20"/>
          <w:color w:val="auto"/>
        </w:rPr>
      </w:pPr>
      <w:r>
        <w:rPr>
          <w:rFonts w:ascii="Arial" w:cs="Arial" w:eastAsia="Arial" w:hAnsi="Arial"/>
          <w:sz w:val="16"/>
          <w:szCs w:val="16"/>
          <w:color w:val="auto"/>
        </w:rPr>
        <w:t>Further, the Company retains liability of up to $1,000,000 for each general liability claim, up to $250,000 for each workers’ compensation claim and up to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57" w:lineRule="exact"/>
        <w:rPr>
          <w:sz w:val="20"/>
          <w:szCs w:val="20"/>
          <w:color w:val="auto"/>
        </w:rPr>
      </w:pPr>
    </w:p>
    <w:p>
      <w:pPr>
        <w:ind w:left="560" w:firstLine="423"/>
        <w:spacing w:after="0" w:line="284" w:lineRule="auto"/>
        <w:rPr>
          <w:sz w:val="20"/>
          <w:szCs w:val="20"/>
          <w:color w:val="auto"/>
        </w:rPr>
      </w:pPr>
      <w:r>
        <w:rPr>
          <w:rFonts w:ascii="Arial" w:cs="Arial" w:eastAsia="Arial" w:hAnsi="Arial"/>
          <w:sz w:val="16"/>
          <w:szCs w:val="16"/>
          <w:i w:val="1"/>
          <w:iCs w:val="1"/>
          <w:color w:val="auto"/>
        </w:rPr>
        <w:t xml:space="preserve">Dependence on third party insurance companies. </w:t>
      </w:r>
      <w:r>
        <w:rPr>
          <w:rFonts w:ascii="Arial" w:cs="Arial" w:eastAsia="Arial" w:hAnsi="Arial"/>
          <w:sz w:val="16"/>
          <w:szCs w:val="16"/>
          <w:color w:val="auto"/>
        </w:rPr>
        <w:t>The Company is dependent on a limited number of third party insurance companies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insurance coverage in excess of its self-insured retention amounts. Historically, the Company has maintained insurance coverage for commercial trucking claims in excess of its self-insured retention, up to various maximum amounts, with a limited number of third party insurance companies. In an attempt to manage the cost of insurance and claims, the Company has historically increased or decreased the level of its financial exposure to commercial trucking claims by increasing or decreasing its level of self-insured retention based on the estimated cost differential between proposed premiums from third party insurance companies and historical and actuarially projected losses experienced by the Company at various levels of self-insured retention. Similarly, in its excess insurance layers, the Company may increase or decrease the level of its financial exposure to commercial trucking claims, including through the use of additional self-insurance as well as deductibles, aggregate loss limits, quota shares and other arrangements with third party insurance companies, based on the estimated cost differential between proposed premiums from third party insurance companies and historical and actuarially projected losses experienced by the Company at various levels of excess insurance coverage. To the extent that the third party insurance companies propose increases to their premiums for coverage of commercial trucking claims, the Company may decide to pay such increased premiums or increase its financial exposure on an aggregate, per occurrence or other basis, including by increasing the amount of its self-insured retention. In fact, in recent years, several of the largest third party insurers providing excess coverage for commercial trucking claims in the United States announced that in light of increased severity trends related to the increase in losses attributable to unfavorable verdicts, they would no longer provide such coverage. Decisions by these third party insurers to exit this line of business have had a significant negative impact on the availability and pricing of excess coverage for commercial trucking claims in the United States. No assurances can be given that other third party insurers will not also decide to exit the market as a provider of excess coverage for commercial trucking claims in the United States, which could have a further negative effect on the availability and pricing of such coverage. Accordingly, no assurance can be given that insurance coverage from third party insurers for claims in excess of the Company’s current self-insured retentions will continue to be available on commercially reasonable terms.</w:t>
      </w:r>
    </w:p>
    <w:p>
      <w:pPr>
        <w:spacing w:after="0" w:line="74" w:lineRule="exact"/>
        <w:rPr>
          <w:sz w:val="20"/>
          <w:szCs w:val="20"/>
          <w:color w:val="auto"/>
        </w:rPr>
      </w:pPr>
    </w:p>
    <w:p>
      <w:pPr>
        <w:ind w:left="560" w:right="80" w:firstLine="423"/>
        <w:spacing w:after="0" w:line="257" w:lineRule="auto"/>
        <w:rPr>
          <w:sz w:val="20"/>
          <w:szCs w:val="20"/>
          <w:color w:val="auto"/>
        </w:rPr>
      </w:pPr>
      <w:r>
        <w:rPr>
          <w:rFonts w:ascii="Arial" w:cs="Arial" w:eastAsia="Arial" w:hAnsi="Arial"/>
          <w:sz w:val="18"/>
          <w:szCs w:val="18"/>
          <w:i w:val="1"/>
          <w:iCs w:val="1"/>
          <w:color w:val="auto"/>
        </w:rPr>
        <w:t xml:space="preserve">Dependence on independent commission sales agents. </w:t>
      </w:r>
      <w:r>
        <w:rPr>
          <w:rFonts w:ascii="Arial" w:cs="Arial" w:eastAsia="Arial" w:hAnsi="Arial"/>
          <w:sz w:val="18"/>
          <w:szCs w:val="18"/>
          <w:color w:val="auto"/>
        </w:rPr>
        <w:t>As noted above in Item 1, “Business — Factors Significant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 Agent Network,” the Company markets its services primarily through independent commission sales agents. During fiscal year 2021, 593 agents generated revenue for Landstar of at least $1 million each, or in the aggregate approximately 94% of Landstar’s consolidated revenue. Included among these Million Dollar Agents, 115 agents generated at least $10,000,000 of Landstar revenue during the 2021 fiscal year, or in the aggregate approximately 71% of Landstar’s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9" w:lineRule="auto"/>
        <w:rPr>
          <w:sz w:val="20"/>
          <w:szCs w:val="20"/>
          <w:color w:val="auto"/>
        </w:rPr>
      </w:pPr>
      <w:r>
        <w:rPr>
          <w:rFonts w:ascii="Arial" w:cs="Arial" w:eastAsia="Arial" w:hAnsi="Arial"/>
          <w:sz w:val="16"/>
          <w:szCs w:val="16"/>
          <w:color w:val="auto"/>
        </w:rPr>
        <w:t>consolidated revenue. Of these larger agencies, one such Landstar independent commission sales agency, itself with a very diversified customer base, generated approximately $740,000,000, or 11%, of Landstar’s consolidated revenue and approximately 7% of Landstar’s consolidated variable contribution in fiscal year 2021. Moreover, a number of these larger agencies, including the largest of Landstar’s independent commission sales agents, maintain business operations in countries outside of North America where the risks of doing business may be different than in the United States or Canada due to geopolitical, legal or other risks associated with doing business in such foreign jurisdictions. For example, certain Landstar independent agencies maintain business operations in Eastern Europe, including in Ukraine, which could be significantly impacted by the further escalation in tensions and potential for armed conflict. There can be no assurance regarding the potential disruption and impact adverse geopolitical developments in these foreign jurisdictions could have on the ability of certain large independent commission sales agents to generate and maintain business operations in support of significant amounts of Landstar revenue.</w:t>
      </w:r>
    </w:p>
    <w:p>
      <w:pPr>
        <w:spacing w:after="0" w:line="58"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Landstar competes with motor carriers and other third parties for the services of independent commission sales agents. Landstar has historically experienced very limited agent turnover in the number of its Million Dollar Agents. There can be no assurances, however, that Landstar will continue to experience very limited turnover of its Million Dollar Agents in the future. Landstar’s contracts with its agents, including its Million Dollar Agents, are typically terminable without cause upon 10 to 30 days’ notice by either party and generally contain significant but not unqualified non-compete provisions limiting the ability of a former agent to compete with Landstar for a specified period of time post-termination, and other restrictive covenants. The loss of some of the Company’s Million Dollar Agents and/or a significant decrease in revenue generated by Million Dollar Agents could have a material adverse effect on Landstar, including its results of operations and revenue.</w:t>
      </w:r>
    </w:p>
    <w:p>
      <w:pPr>
        <w:spacing w:after="0" w:line="58" w:lineRule="exact"/>
        <w:rPr>
          <w:sz w:val="20"/>
          <w:szCs w:val="20"/>
          <w:color w:val="auto"/>
        </w:rPr>
      </w:pPr>
    </w:p>
    <w:p>
      <w:pPr>
        <w:ind w:left="560" w:right="80" w:firstLine="423"/>
        <w:spacing w:after="0" w:line="269" w:lineRule="auto"/>
        <w:rPr>
          <w:sz w:val="20"/>
          <w:szCs w:val="20"/>
          <w:color w:val="auto"/>
        </w:rPr>
      </w:pPr>
      <w:r>
        <w:rPr>
          <w:rFonts w:ascii="Arial" w:cs="Arial" w:eastAsia="Arial" w:hAnsi="Arial"/>
          <w:sz w:val="17"/>
          <w:szCs w:val="17"/>
          <w:i w:val="1"/>
          <w:iCs w:val="1"/>
          <w:color w:val="auto"/>
        </w:rPr>
        <w:t xml:space="preserve">Dependence on third party capacity providers. </w:t>
      </w:r>
      <w:r>
        <w:rPr>
          <w:rFonts w:ascii="Arial" w:cs="Arial" w:eastAsia="Arial" w:hAnsi="Arial"/>
          <w:sz w:val="17"/>
          <w:szCs w:val="17"/>
          <w:color w:val="auto"/>
        </w:rPr>
        <w:t>As noted above in Item 1, “Business — Factors Significant to the Company’s Operations —</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Capacity,” Landstar does not own trucks or other transportation equipment other than trailing equipment and relies on third party capacity providers, including BCO Independent Contractors, Truck Brokerage Carriers, railroads and air and ocean cargo carriers, to transport freight for its customers. The Company competes with motor carriers and other third parties for the services of BCO Independent Contractors and other third party capacity providers. The market for qualified truck owner-operators and other third party truck capacity providers is very competitive among motor carriers and no assurances can be given that the Company will be able to maintain or expand the number of BCO Independent Contractors or other third party truck capacity providers. Additionally, the Company’s third party capacity providers other than BCO Independent Contractors can be expected, under certain circumstances, to charge higher prices to cover increased operating expenses, such as any increases in the cost of fuel, and the Company’s operating income may decline without a corresponding increase in price to the customer. A significant decrease in available capacity provided by either the Company’s BCO Independent Contractors or other third party capacity providers, or increased rates charged by other third party capacity providers that cannot be passed through to customers, could have a material adverse effect on Landstar, including its results of operations and revenue.</w:t>
      </w:r>
    </w:p>
    <w:p>
      <w:pPr>
        <w:spacing w:after="0" w:line="71"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i w:val="1"/>
          <w:iCs w:val="1"/>
          <w:color w:val="auto"/>
        </w:rPr>
        <w:t xml:space="preserve">The coronavirus (“COVID-19”) pandemic has had a significant impact on our business. </w:t>
      </w:r>
      <w:r>
        <w:rPr>
          <w:rFonts w:ascii="Arial" w:cs="Arial" w:eastAsia="Arial" w:hAnsi="Arial"/>
          <w:sz w:val="18"/>
          <w:szCs w:val="18"/>
          <w:color w:val="auto"/>
        </w:rPr>
        <w:t>The COVID-19 pandemic has caused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to cause significant disruptions in the global economy, which significantly intensified in the United States in late March 2020 and continues into 2022. The situation with respect to the COVID-19 pandemic continues to evolve and its effects, both short and long-term, remain unknown. Economic disruptions and other effects on the global or domestic economies caused by the COVID-19 pandemic could have a material adverse impact on the demand for our services.</w:t>
      </w:r>
    </w:p>
    <w:p>
      <w:pPr>
        <w:spacing w:after="0" w:line="80" w:lineRule="exact"/>
        <w:rPr>
          <w:sz w:val="20"/>
          <w:szCs w:val="20"/>
          <w:color w:val="auto"/>
        </w:rPr>
      </w:pPr>
    </w:p>
    <w:p>
      <w:pPr>
        <w:ind w:left="560" w:right="40" w:firstLine="423"/>
        <w:spacing w:after="0" w:line="287" w:lineRule="auto"/>
        <w:rPr>
          <w:sz w:val="20"/>
          <w:szCs w:val="20"/>
          <w:color w:val="auto"/>
        </w:rPr>
      </w:pPr>
      <w:r>
        <w:rPr>
          <w:rFonts w:ascii="Arial" w:cs="Arial" w:eastAsia="Arial" w:hAnsi="Arial"/>
          <w:sz w:val="16"/>
          <w:szCs w:val="16"/>
          <w:color w:val="auto"/>
        </w:rPr>
        <w:t>In connection with the impact of the COVID-19 pandemic, the Company experienced a significant decline in truckload volumes during the second quarter of 2020 compared to the corresponding period of 2019 followed by a similarly significant yet more gradual sequential increase in demand during the third and fourth quarters of 2020, followed by a year of unprecedented strength in demand for the Company’s services in 2021. This significant, rapid decrease in demand followed by an ultimately more significant yet more gradual increase in demand was unprecedented in the history of the Company. In particular, the U.S. economy in 2021 experienced a tremendous overall increase in economic demand coupled with a strong secular shift in demand from services to goods. The extent to which the COVID-19 pandemic impacts the Company’s results in future quarters will depend on future developments that are highly uncertain and cannot be predicted, including the duration of the pandemic, the actions taken by federal, state and local governments in response to the pandemic, the availability and effectiveness of vaccines for COVID-19 and the length of time necessary for the economy to transition back to more normal operating conditions, which could involve a decrease in overall economic demand as well as a secular shift in demand for goods back to services. These and other factors could have a material adverse impact on our business, financial position, results of operations and cash flows.</w:t>
      </w:r>
    </w:p>
    <w:p>
      <w:pPr>
        <w:spacing w:after="0" w:line="64" w:lineRule="exact"/>
        <w:rPr>
          <w:sz w:val="20"/>
          <w:szCs w:val="20"/>
          <w:color w:val="auto"/>
        </w:rPr>
      </w:pPr>
    </w:p>
    <w:p>
      <w:pPr>
        <w:ind w:left="560" w:right="460" w:firstLine="423"/>
        <w:spacing w:after="0" w:line="286" w:lineRule="auto"/>
        <w:rPr>
          <w:sz w:val="20"/>
          <w:szCs w:val="20"/>
          <w:color w:val="auto"/>
        </w:rPr>
      </w:pPr>
      <w:r>
        <w:rPr>
          <w:rFonts w:ascii="Arial" w:cs="Arial" w:eastAsia="Arial" w:hAnsi="Arial"/>
          <w:sz w:val="17"/>
          <w:szCs w:val="17"/>
          <w:color w:val="auto"/>
        </w:rPr>
        <w:t>Moreover, the COVID-19 virus continues to spread in areas where we provide services. The Landstar network includes over 1,200 independent agent locations throughout North America where such independent agents provide shipment coordination and dispatch services, freight tracking, trailer management and numerous other operational functions. Similarly, the Landstar network</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96" w:lineRule="auto"/>
        <w:rPr>
          <w:sz w:val="20"/>
          <w:szCs w:val="20"/>
          <w:color w:val="auto"/>
        </w:rPr>
      </w:pPr>
      <w:r>
        <w:rPr>
          <w:rFonts w:ascii="Arial" w:cs="Arial" w:eastAsia="Arial" w:hAnsi="Arial"/>
          <w:sz w:val="16"/>
          <w:szCs w:val="16"/>
          <w:color w:val="auto"/>
        </w:rPr>
        <w:t>includes tens of thousands of truck capacity providers who operate throughout North America without any Landstar truck terminals. Management believes the decentralized nature of our model should insulate Landstar’s freight operations in an environment where social distancing can disrupt centralized business structures. A significant disruption to our independent agent network and/or a significant decrease in available truck capacity providers due to illness or government restrictions related to the COVID-19 pandemic could have a material adverse effect on our ability to source capacity to service our customers and could have a significant impact on Landstar, including our results of operations, revenue and cash flows.</w:t>
      </w:r>
    </w:p>
    <w:p>
      <w:pPr>
        <w:spacing w:after="0" w:line="53" w:lineRule="exact"/>
        <w:rPr>
          <w:sz w:val="20"/>
          <w:szCs w:val="20"/>
          <w:color w:val="auto"/>
        </w:rPr>
      </w:pPr>
    </w:p>
    <w:p>
      <w:pPr>
        <w:ind w:left="560" w:firstLine="423"/>
        <w:spacing w:after="0" w:line="269" w:lineRule="auto"/>
        <w:rPr>
          <w:sz w:val="20"/>
          <w:szCs w:val="20"/>
          <w:color w:val="auto"/>
        </w:rPr>
      </w:pPr>
      <w:r>
        <w:rPr>
          <w:rFonts w:ascii="Arial" w:cs="Arial" w:eastAsia="Arial" w:hAnsi="Arial"/>
          <w:sz w:val="17"/>
          <w:szCs w:val="17"/>
          <w:color w:val="auto"/>
        </w:rPr>
        <w:t>During 2021, the U.S. government, the Canadian government and various state, local and provincial governments implemented various masking, testing and vaccination requirements relating to the COVID-19 pandemic. Many of these requirements have been subject to legal challenges in courts throughout the United States. Moreover, in January 2022, the U.S. government implemented a vaccination mandate applicable to inbound non-U.S. citizens, including commercial truck drivers, seeking to enter the U.S. via land ports of entry or ferry terminals at the U.S.– Mexico or U.S.–Canada borders requiring such individual to be fully vaccinated for COVID-19 and to provide related proof of vaccination to enter the U.S. Similarly, in January 2022, the Canadian government implemented a vaccination mandate applicable to all travelers, including U.S. and Canadian truck drivers, entering Canada from the U.S., requiring vaccination against COVID-19 to enter Canada. In addition, many companies, including many customers of the Company, have implemented various masking, testing and vaccination requirements relating to the COVID-19 pandemic that apply to commercial drivers seeking access to certain facilities of that customer for the purposes of the pick-up or delivery of freight. These legal and customer requirements have the potential to impact the availability of motor carrier capacity and create additional supply chain disruption.</w:t>
      </w:r>
    </w:p>
    <w:p>
      <w:pPr>
        <w:spacing w:after="0" w:line="74" w:lineRule="exact"/>
        <w:rPr>
          <w:sz w:val="20"/>
          <w:szCs w:val="20"/>
          <w:color w:val="auto"/>
        </w:rPr>
      </w:pPr>
    </w:p>
    <w:p>
      <w:pPr>
        <w:ind w:left="560" w:right="40" w:firstLine="423"/>
        <w:spacing w:after="0" w:line="257" w:lineRule="auto"/>
        <w:rPr>
          <w:sz w:val="20"/>
          <w:szCs w:val="20"/>
          <w:color w:val="auto"/>
        </w:rPr>
      </w:pPr>
      <w:r>
        <w:rPr>
          <w:rFonts w:ascii="Arial" w:cs="Arial" w:eastAsia="Arial" w:hAnsi="Arial"/>
          <w:sz w:val="18"/>
          <w:szCs w:val="18"/>
          <w:color w:val="auto"/>
        </w:rPr>
        <w:t>In addition, the COVID-19 pandemic has caused significant disruptions in the Mexican economy. During the Company’s 2020 and 2021 fiscal years, the value of the Mexican peso to the U.S. dollar significantly depreciated and may continue to depreciate further. No assurances can be given regarding the potential impact of the COVID-19 pandemic and other factors on the Mexican economy and the value of the Mexican peso relative to the U.S. dollar and could have a significant adverse impact on the financial condition and results of operations of our Mexican subsidiaries.</w:t>
      </w:r>
    </w:p>
    <w:p>
      <w:pPr>
        <w:spacing w:after="0" w:line="80" w:lineRule="exact"/>
        <w:rPr>
          <w:sz w:val="20"/>
          <w:szCs w:val="20"/>
          <w:color w:val="auto"/>
        </w:rPr>
      </w:pPr>
    </w:p>
    <w:p>
      <w:pPr>
        <w:ind w:left="560" w:right="20" w:firstLine="423"/>
        <w:spacing w:after="0" w:line="284" w:lineRule="auto"/>
        <w:rPr>
          <w:sz w:val="20"/>
          <w:szCs w:val="20"/>
          <w:color w:val="auto"/>
        </w:rPr>
      </w:pPr>
      <w:r>
        <w:rPr>
          <w:rFonts w:ascii="Arial" w:cs="Arial" w:eastAsia="Arial" w:hAnsi="Arial"/>
          <w:sz w:val="16"/>
          <w:szCs w:val="16"/>
          <w:i w:val="1"/>
          <w:iCs w:val="1"/>
          <w:color w:val="auto"/>
        </w:rPr>
        <w:t xml:space="preserve">Disruptions or failures in the Company’s computer systems; cyber and other information security incidents. </w:t>
      </w:r>
      <w:r>
        <w:rPr>
          <w:rFonts w:ascii="Arial" w:cs="Arial" w:eastAsia="Arial" w:hAnsi="Arial"/>
          <w:sz w:val="16"/>
          <w:szCs w:val="16"/>
          <w:color w:val="auto"/>
        </w:rPr>
        <w:t>As noted above in Item 1,</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 Factors Significant to the Company’s Operations — Technology,” the Company’s information technology systems used in connection with its operations are located in Jacksonville, Florida and to a lesser extent in Rockford, Illinois. In addition, the Company utilizes several third party data centers throughout the U.S. Landstar relies, in the regular course of its business, on the proper operation of its information technology systems to link its extensive network of customers, employees, agents and third party capacity providers, including its BCO Independent Contractors. Moreover, in connection with the COVID-19 pandemic, the Company has temporarily transitioned the vast majority of its office-based employees to remote work arrangements. Although the Company has redundant systems for its critical operations, any significant disruption or failure of its technology systems or those of third party data centers on which it relies could significantly disrupt the Company’s operations and impose significant costs on the Company. Moreover, it is critical that the data processed by or stored in the Company’s information technology systems or otherwise in the Company’s possession remain confidential, as it often includes confidential, proprietary and/or competitively sensitive information regarding our customers, employees, agents and third party capacity providers, key financial and operational results and statistics, and our strategic plans, including technology innovations, developments and enhancements. Cyber incidents that impact the security, availability, reliability, speed, accuracy or other proper functioning of these systems and data, including outages, computer viruses, break-ins and similar disruptions, could have a significant impact on our operations. Accordingly, information security and the continued development and enhancement of the controls and processes designed to protect our systems, computers, software, data and networks from attack, damage or unauthorized access remain a priority for us. Although we believe that we have robust security procedures and other safeguards in place, as threats continue to evolve, we may be required to expend additional resources to continue to enhance our information security measures and/or to investigate and remediate any security vulnerabilities. A significant incident, including system failure, security breach, disruption by malware, or other damage, could interrupt or delay our operations, damage our reputation, cause a loss of customers, agents and/or third party capacity providers, expose us to a risk of loss or litigation, and/or cause us to incur significant time and expense to remedy such an event, any of which could have a material adverse impact on our results of operations and financial condition.</w:t>
      </w:r>
    </w:p>
    <w:p>
      <w:pPr>
        <w:spacing w:after="0" w:line="72"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Although the Company maintains cybersecurity and business interruption insurance, the Company’s insurance may not be adequate to cover all losses that may be incurred in the event of a significant disruption or failure of its information technology systems. In addition, cybersecurity and business interruption insurance could in the future become more expensive and difficult to maintain and may not be available on commercially reasonable terms or at all.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23"/>
        <w:spacing w:after="0" w:line="296" w:lineRule="auto"/>
        <w:rPr>
          <w:sz w:val="20"/>
          <w:szCs w:val="20"/>
          <w:color w:val="auto"/>
        </w:rPr>
      </w:pPr>
      <w:r>
        <w:rPr>
          <w:rFonts w:ascii="Arial" w:cs="Arial" w:eastAsia="Arial" w:hAnsi="Arial"/>
          <w:sz w:val="16"/>
          <w:szCs w:val="16"/>
          <w:i w:val="1"/>
          <w:iCs w:val="1"/>
          <w:color w:val="auto"/>
        </w:rPr>
        <w:t xml:space="preserve">Dependence on key vendors. </w:t>
      </w:r>
      <w:r>
        <w:rPr>
          <w:rFonts w:ascii="Arial" w:cs="Arial" w:eastAsia="Arial" w:hAnsi="Arial"/>
          <w:sz w:val="16"/>
          <w:szCs w:val="16"/>
          <w:color w:val="auto"/>
        </w:rPr>
        <w:t>As described above under “</w:t>
      </w:r>
      <w:r>
        <w:rPr>
          <w:rFonts w:ascii="Arial" w:cs="Arial" w:eastAsia="Arial" w:hAnsi="Arial"/>
          <w:sz w:val="16"/>
          <w:szCs w:val="16"/>
          <w:i w:val="1"/>
          <w:iCs w:val="1"/>
          <w:color w:val="auto"/>
        </w:rPr>
        <w:t>Dependence on third party insurance companies</w:t>
      </w:r>
      <w:r>
        <w:rPr>
          <w:rFonts w:ascii="Arial" w:cs="Arial" w:eastAsia="Arial" w:hAnsi="Arial"/>
          <w:sz w:val="16"/>
          <w:szCs w:val="16"/>
          <w:color w:val="auto"/>
        </w:rPr>
        <w:t>” and “</w:t>
      </w:r>
      <w:r>
        <w:rPr>
          <w:rFonts w:ascii="Arial" w:cs="Arial" w:eastAsia="Arial" w:hAnsi="Arial"/>
          <w:sz w:val="16"/>
          <w:szCs w:val="16"/>
          <w:i w:val="1"/>
          <w:iCs w:val="1"/>
          <w:color w:val="auto"/>
        </w:rPr>
        <w:t>Disruptions or failures in the Company’s computer systems; cyber and other information security incidents,</w:t>
      </w:r>
      <w:r>
        <w:rPr>
          <w:rFonts w:ascii="Arial" w:cs="Arial" w:eastAsia="Arial" w:hAnsi="Arial"/>
          <w:sz w:val="16"/>
          <w:szCs w:val="16"/>
          <w:color w:val="auto"/>
        </w:rPr>
        <w:t>” the Company is dependent on certain vendors, including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insurance companies, third party data center providers, third party information technology application providers and third party payment disbursement providers. Any inability to negotiate satisfactory terms with one of these key vendors or any other significant disruption to or termination of a relationship with one of these key vendors could disrupt the Company’s operations and impose significant costs on the Company.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Economic, Competitive and Industry Risks</w:t>
      </w:r>
    </w:p>
    <w:p>
      <w:pPr>
        <w:spacing w:after="0" w:line="121"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i w:val="1"/>
          <w:iCs w:val="1"/>
          <w:color w:val="auto"/>
        </w:rPr>
        <w:t xml:space="preserve">Decreased demand for transportation services; U.S. trade relationships. </w:t>
      </w:r>
      <w:r>
        <w:rPr>
          <w:rFonts w:ascii="Arial" w:cs="Arial" w:eastAsia="Arial" w:hAnsi="Arial"/>
          <w:sz w:val="17"/>
          <w:szCs w:val="17"/>
          <w:color w:val="auto"/>
        </w:rPr>
        <w:t>The transportation industry historically has experienced cyclical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results as a result of slowdowns in economic activity, the business cycles of customers, and other economic factors beyond Landstar’s control. If a slowdown in economic activity or a downturn in the Company’s customers’ business cycles cause a reduction in the volume of freight shipped by those customers, the Company’s operating results could be materially adversely affected.</w:t>
      </w:r>
    </w:p>
    <w:p>
      <w:pPr>
        <w:spacing w:after="0" w:line="63" w:lineRule="exact"/>
        <w:rPr>
          <w:sz w:val="20"/>
          <w:szCs w:val="20"/>
          <w:color w:val="auto"/>
        </w:rPr>
      </w:pPr>
    </w:p>
    <w:p>
      <w:pPr>
        <w:ind w:left="560" w:firstLine="423"/>
        <w:spacing w:after="0" w:line="275" w:lineRule="auto"/>
        <w:rPr>
          <w:sz w:val="20"/>
          <w:szCs w:val="20"/>
          <w:color w:val="auto"/>
        </w:rPr>
      </w:pPr>
      <w:r>
        <w:rPr>
          <w:rFonts w:ascii="Arial" w:cs="Arial" w:eastAsia="Arial" w:hAnsi="Arial"/>
          <w:sz w:val="17"/>
          <w:szCs w:val="17"/>
          <w:color w:val="auto"/>
        </w:rPr>
        <w:t>In addition, Landstar hauls a significant number of shipments that have either been imported into the United States or are destined for export from the United States. Any decision by the U.S. government to adopt actions such as a border tax on imports, an increase in customs duties or tariffs, the renegotiation of U.S. trade agreements or any other action that could have a negative impact on international trade could cause a reduction in the volume of freight shipped by many Landstar customers. Any changes in tax and trade policies in the United States and corresponding actions by other countries could adversely affect our financial performance.</w:t>
      </w:r>
    </w:p>
    <w:p>
      <w:pPr>
        <w:spacing w:after="0" w:line="68" w:lineRule="exact"/>
        <w:rPr>
          <w:sz w:val="20"/>
          <w:szCs w:val="20"/>
          <w:color w:val="auto"/>
        </w:rPr>
      </w:pPr>
    </w:p>
    <w:p>
      <w:pPr>
        <w:ind w:left="560" w:firstLine="423"/>
        <w:spacing w:after="0" w:line="287" w:lineRule="auto"/>
        <w:rPr>
          <w:sz w:val="20"/>
          <w:szCs w:val="20"/>
          <w:color w:val="auto"/>
        </w:rPr>
      </w:pPr>
      <w:r>
        <w:rPr>
          <w:rFonts w:ascii="Arial" w:cs="Arial" w:eastAsia="Arial" w:hAnsi="Arial"/>
          <w:sz w:val="16"/>
          <w:szCs w:val="16"/>
          <w:i w:val="1"/>
          <w:iCs w:val="1"/>
          <w:color w:val="auto"/>
        </w:rPr>
        <w:t xml:space="preserve">Substantial industry competition. </w:t>
      </w:r>
      <w:r>
        <w:rPr>
          <w:rFonts w:ascii="Arial" w:cs="Arial" w:eastAsia="Arial" w:hAnsi="Arial"/>
          <w:sz w:val="16"/>
          <w:szCs w:val="16"/>
          <w:color w:val="auto"/>
        </w:rPr>
        <w:t>As noted above in Item 1, “Business — Factors Significant to the Company’s Operations — 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Landstar competes primarily in the transportation and logistics services industry. This industry is extremely competitive and fragmented. Landstar competes primarily with truckload carriers, intermodal transportation service providers, railroads, less-than-truckload carriers, third party logistics companies, digital freight brokers and other asset-light transportation and logistics service providers. Management believes that competition for the freight transported by the Company is based on service, efficiency and freight rates, which are influenced significantly by the economic environment, particularly the amount of available transportation capacity and freight demand. In recent years, the use of technology and the implementation of technology-based innovations have become increasingly important to compete within the transportation and logistics industry. In particular, management believes leadership in the development, operation and support of an ecosystem of digital technologies and applications is an ongoing part of providing high quality service. The failure of the Company to maintain or enhance its technology ecosystem in response to changing demands from customers, agents, and capacity providers could have a significant adverse impact on Landstar’s ability to compete for customers, agents and capacity providers in the transportation and logistics industry.</w:t>
      </w:r>
    </w:p>
    <w:p>
      <w:pPr>
        <w:spacing w:after="0" w:line="64" w:lineRule="exact"/>
        <w:rPr>
          <w:sz w:val="20"/>
          <w:szCs w:val="20"/>
          <w:color w:val="auto"/>
        </w:rPr>
      </w:pPr>
    </w:p>
    <w:p>
      <w:pPr>
        <w:ind w:left="560" w:right="40" w:firstLine="423"/>
        <w:spacing w:after="0" w:line="272" w:lineRule="auto"/>
        <w:rPr>
          <w:sz w:val="20"/>
          <w:szCs w:val="20"/>
          <w:color w:val="auto"/>
        </w:rPr>
      </w:pPr>
      <w:r>
        <w:rPr>
          <w:rFonts w:ascii="Arial" w:cs="Arial" w:eastAsia="Arial" w:hAnsi="Arial"/>
          <w:sz w:val="17"/>
          <w:szCs w:val="17"/>
          <w:color w:val="auto"/>
        </w:rPr>
        <w:t>In addition, competition in our industry, historically, has created downward pressure on freight rates. Many large shippers use third party logistics providers (“3PLs”) other than the Company to outsource the management and coordination of their transportation needs rather than directly arrange for transportation services with carriers. As noted above, there were 12 transportation service providers, including 3PLs, included in the Company’s top 25 customers for the fiscal year ended December 25, 2021. Usage by large shippers of 3PLs often provides carriers, such as the Company, with a less direct relationship with the shipper and, as a result, may increase pressure on freight rates while making it more difficult for the Company to compete primarily based on service and efficiency. A decrease in freight rates could have a material adverse effect on Landstar, including its revenue and operating income.</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Legal, Tax, Regulatory and Compliance Risks</w:t>
      </w:r>
    </w:p>
    <w:p>
      <w:pPr>
        <w:spacing w:after="0" w:line="121" w:lineRule="exact"/>
        <w:rPr>
          <w:sz w:val="20"/>
          <w:szCs w:val="20"/>
          <w:color w:val="auto"/>
        </w:rPr>
      </w:pPr>
    </w:p>
    <w:p>
      <w:pPr>
        <w:ind w:left="560" w:right="80" w:firstLine="423"/>
        <w:spacing w:after="0" w:line="293" w:lineRule="auto"/>
        <w:rPr>
          <w:sz w:val="20"/>
          <w:szCs w:val="20"/>
          <w:color w:val="auto"/>
        </w:rPr>
      </w:pPr>
      <w:r>
        <w:rPr>
          <w:rFonts w:ascii="Arial" w:cs="Arial" w:eastAsia="Arial" w:hAnsi="Arial"/>
          <w:sz w:val="16"/>
          <w:szCs w:val="16"/>
          <w:i w:val="1"/>
          <w:iCs w:val="1"/>
          <w:color w:val="auto"/>
        </w:rPr>
        <w:t xml:space="preserve">Status of independent contractors. </w:t>
      </w:r>
      <w:r>
        <w:rPr>
          <w:rFonts w:ascii="Arial" w:cs="Arial" w:eastAsia="Arial" w:hAnsi="Arial"/>
          <w:sz w:val="16"/>
          <w:szCs w:val="16"/>
          <w:color w:val="auto"/>
        </w:rPr>
        <w:t>In recent years, the topic of the classification of individuals as employees or independent contractors has</w:t>
      </w:r>
      <w:r>
        <w:rPr>
          <w:rFonts w:ascii="Arial" w:cs="Arial" w:eastAsia="Arial" w:hAnsi="Arial"/>
          <w:sz w:val="16"/>
          <w:szCs w:val="16"/>
          <w:i w:val="1"/>
          <w:iCs w:val="1"/>
          <w:color w:val="auto"/>
        </w:rPr>
        <w:t xml:space="preserve"> </w:t>
      </w:r>
      <w:r>
        <w:rPr>
          <w:rFonts w:ascii="Arial" w:cs="Arial" w:eastAsia="Arial" w:hAnsi="Arial"/>
          <w:sz w:val="16"/>
          <w:szCs w:val="16"/>
          <w:color w:val="auto"/>
        </w:rPr>
        <w:t>gained increased attention among federal and state regulators as well as the plaintiffs’ bar. Various legislative or regulatory proposals have been introduced at the federal and state levels that may affect the classification status of individuals as independent contractors or employees for either employment tax purposes (e.g., withholding, social security, Medicare and unemployment taxes) or other benefits available to employees (most notably, workers’ compensation benefits). Recently, certain states (most prominently, California) have seen significant increased activity by tax and other regulators and numerous class action lawsuits filed against transportation companies that engage independent contractors.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69" w:lineRule="auto"/>
        <w:rPr>
          <w:sz w:val="20"/>
          <w:szCs w:val="20"/>
          <w:color w:val="auto"/>
        </w:rPr>
      </w:pPr>
      <w:r>
        <w:rPr>
          <w:rFonts w:ascii="Arial" w:cs="Arial" w:eastAsia="Arial" w:hAnsi="Arial"/>
          <w:sz w:val="17"/>
          <w:szCs w:val="17"/>
          <w:color w:val="auto"/>
        </w:rPr>
        <w:t>There are many different tests and standards that may apply to the determination of whether a relationship is that of an independent contractor or one of employment. For example, different standards may be applied by the Internal Revenue Service, the U.S. Department of Labor, the National Labor Relations Board, state unemployment agencies, state departments of labor, state taxing authorities, the Equal Employment Opportunity Commission, state discrimination or disability benefit administrators and state workers compensation boards, among others. For federal tax purposes, most individuals are classified as employees or independent contractors based on a multi-factor “common-law” analysis rather than any definition found in the Internal Revenue Code or Internal Revenue Service regulations. In addition, under Section 530 of the Revenue Act of 1978, a taxpayer that meets certain criteria may treat an individual as an independent contractor for employment tax purposes if the taxpayer has been audited without being told to treat similarly situated workers as employees, if the taxpayer has received a ruling from the Internal Revenue Service or a court decision affirming the taxpayer’s treatment of the individual as an independent contractor, or if the taxpayer is following a long-standing recognized practice.</w:t>
      </w:r>
    </w:p>
    <w:p>
      <w:pPr>
        <w:spacing w:after="0" w:line="77" w:lineRule="exact"/>
        <w:rPr>
          <w:sz w:val="20"/>
          <w:szCs w:val="20"/>
          <w:color w:val="auto"/>
        </w:rPr>
      </w:pPr>
    </w:p>
    <w:p>
      <w:pPr>
        <w:ind w:left="560" w:firstLine="423"/>
        <w:spacing w:after="0" w:line="285" w:lineRule="auto"/>
        <w:rPr>
          <w:sz w:val="20"/>
          <w:szCs w:val="20"/>
          <w:color w:val="auto"/>
        </w:rPr>
      </w:pPr>
      <w:r>
        <w:rPr>
          <w:rFonts w:ascii="Arial" w:cs="Arial" w:eastAsia="Arial" w:hAnsi="Arial"/>
          <w:sz w:val="16"/>
          <w:szCs w:val="16"/>
          <w:color w:val="auto"/>
        </w:rPr>
        <w:t>The Company classifies its BCO Independent Contractors and independent commission sales agents as independent contractors for all purposes, including employment tax and employee benefits. There can be no assurance that legislative, judicial, administrative or regulatory (including tax) authorities will not introduce proposals or assert interpretations of existing rules and regulations that would change the employee/independent contractor classification of BCO Independent Contractors or independent commission sales agents doing business with the Company. On September 18, 2019, California enacted Assembly Bill (AB) 5 into law, codifying the strict “ABC” test for purposes of determining a worker’s status as an independent contractor or employee under California law. While new in California, versions of the ABC test have existed in a number of other states over the years and have been challenged in various courts as violating the federal government’s exclusive right to regulate trucking in certain areas of law and interstate commerce. The Company continues to monitor and analyze the impact of the new law, which became effective as of January 1, 2020, including what steps may be necessary or advisable to adapt to a changing legal and regulatory environment in California. The Company has BCO Independent Contractors, Truck Brokerage Carriers and independent commission sales agents who reside in and/or principally operate their business in California that could be impacted by AB 5 or similar laws, which could eventually affect our relationship with them. Additionally, the new law may have a significant impact on our Truck Brokerage Carriers based in California who utilize owner-operators to provide various types of transportation services such as drayage, regional or local delivery. Since the Company is neither incorporated nor headquartered in California and the vast majority of BCO Independent Contractors, Truck Brokerage Carriers and independent commission sales agents currently doing business with the Company reside and principally operate outside of California, we do not expect AB 5 to have a material impact on Landstar’s overall network of BCO Independent Contractors, Truck Brokerage Carriers and independent commission sales agents. Nevertheless, there remains significant uncertainty regarding many aspects of the new law, including how the law will be interpreted and enforced by state and local governments as well as by courts.</w:t>
      </w:r>
    </w:p>
    <w:p>
      <w:pPr>
        <w:spacing w:after="0" w:line="63" w:lineRule="exact"/>
        <w:rPr>
          <w:sz w:val="20"/>
          <w:szCs w:val="20"/>
          <w:color w:val="auto"/>
        </w:rPr>
      </w:pPr>
    </w:p>
    <w:p>
      <w:pPr>
        <w:ind w:left="560" w:right="100" w:firstLine="423"/>
        <w:spacing w:after="0" w:line="254" w:lineRule="auto"/>
        <w:rPr>
          <w:sz w:val="20"/>
          <w:szCs w:val="20"/>
          <w:color w:val="auto"/>
        </w:rPr>
      </w:pPr>
      <w:r>
        <w:rPr>
          <w:rFonts w:ascii="Arial" w:cs="Arial" w:eastAsia="Arial" w:hAnsi="Arial"/>
          <w:sz w:val="18"/>
          <w:szCs w:val="18"/>
          <w:color w:val="auto"/>
        </w:rPr>
        <w:t>Potential changes, if any, that could impact the legal classification of the independent contractor relationship between the Company and BCO Independent Contractors or independent commission sales agents could have a material adverse effect on Landstar’s operating model. Further, the costs associated with any such potential changes could have a material adverse effect on the Company’s results of operations and financial condition if Landstar were unable to pass through to its customers an increase in price corresponding to such increased costs. Moreover, class action litigation in this area against other transportation companies has resulted in significant damage awards and/or monetary settlements for workers who have been allegedly misclassified as independent contractors and the legal and other related expenses associated with litigating these cases can be substantial.</w:t>
      </w:r>
    </w:p>
    <w:p>
      <w:pPr>
        <w:spacing w:after="0" w:line="87" w:lineRule="exact"/>
        <w:rPr>
          <w:sz w:val="20"/>
          <w:szCs w:val="20"/>
          <w:color w:val="auto"/>
        </w:rPr>
      </w:pPr>
    </w:p>
    <w:p>
      <w:pPr>
        <w:ind w:left="560" w:right="60" w:firstLine="423"/>
        <w:spacing w:after="0" w:line="287" w:lineRule="auto"/>
        <w:rPr>
          <w:sz w:val="20"/>
          <w:szCs w:val="20"/>
          <w:color w:val="auto"/>
        </w:rPr>
      </w:pPr>
      <w:r>
        <w:rPr>
          <w:rFonts w:ascii="Arial" w:cs="Arial" w:eastAsia="Arial" w:hAnsi="Arial"/>
          <w:sz w:val="16"/>
          <w:szCs w:val="16"/>
          <w:i w:val="1"/>
          <w:iCs w:val="1"/>
          <w:color w:val="auto"/>
        </w:rPr>
        <w:t xml:space="preserve">Regulatory and legislative changes. </w:t>
      </w:r>
      <w:r>
        <w:rPr>
          <w:rFonts w:ascii="Arial" w:cs="Arial" w:eastAsia="Arial" w:hAnsi="Arial"/>
          <w:sz w:val="16"/>
          <w:szCs w:val="16"/>
          <w:color w:val="auto"/>
        </w:rPr>
        <w:t>As noted above in Item 1, “Business — Factors Significant to the Company’s Operations —</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certain of the Operating Subsidiaries are motor carriers and/or property brokers authorized to arrange for transportation services by motor carriers which are regulated by the Federal Motor Carrier Safety Administration (“FMCSA”), an agency of the U.S. Department of Transportation, and by various state agencies. Several of the Operating Subsidiaries maintain a federal hazardous materials safety permit and, as a result, have an increased risk of compliance review by the FMCSA.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Company’s 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w:t>
      </w:r>
    </w:p>
    <w:p>
      <w:pPr>
        <w:spacing w:after="0" w:line="64"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 changes in operating practices, by changing the demand for motor carrier services or the cost of providing truckload or other transportation or logistics services, or by adversely impacting the number of available commercial truck operators.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firstLine="423"/>
        <w:spacing w:after="0" w:line="289" w:lineRule="auto"/>
        <w:rPr>
          <w:sz w:val="20"/>
          <w:szCs w:val="20"/>
          <w:color w:val="auto"/>
        </w:rPr>
      </w:pPr>
      <w:r>
        <w:rPr>
          <w:rFonts w:ascii="Arial" w:cs="Arial" w:eastAsia="Arial" w:hAnsi="Arial"/>
          <w:sz w:val="16"/>
          <w:szCs w:val="16"/>
          <w:color w:val="auto"/>
        </w:rPr>
        <w:t>In particular, the FMCSA in recent years proposed a number of regulatory changes that affect the operation of commercial motor carriers across the United States. It is difficult to predict in what form FMCSA regulations may be implemented, modified or enforced and what impact any such regulations may have on motor carrier operations or the aggregate number of trucks that provide hauling capacity to the Company. For example, on January 6, 2020, the FMCSA implemented new requirements applicable to drug and alcohol testing by motor carriers. The new regulation expanded motor carrier reporting requirements to include reporting of all operators who test positive and/or refuse to submit to a test as prescribed in the regulation. The new regulation also expanded rules relating to the obligation of motor carriers to conduct queries to check if current or prospective operators are prohibited from operating a commercial motor vehicle due to a positive or unresolved drug or alcohol test. The expanded reporting of positive results, or of an operator’s refusal to meet FMCSA testing requirements, to a centralized clearinghouse prescribed by FMCSA has the potential to remove operators from service that may otherwise have been undetected or unreported.</w:t>
      </w:r>
    </w:p>
    <w:p>
      <w:pPr>
        <w:spacing w:after="0" w:line="58" w:lineRule="exact"/>
        <w:rPr>
          <w:sz w:val="20"/>
          <w:szCs w:val="20"/>
          <w:color w:val="auto"/>
        </w:rPr>
      </w:pPr>
    </w:p>
    <w:p>
      <w:pPr>
        <w:ind w:left="560" w:right="40" w:firstLine="423"/>
        <w:spacing w:after="0" w:line="287" w:lineRule="auto"/>
        <w:rPr>
          <w:sz w:val="20"/>
          <w:szCs w:val="20"/>
          <w:color w:val="auto"/>
        </w:rPr>
      </w:pPr>
      <w:r>
        <w:rPr>
          <w:rFonts w:ascii="Arial" w:cs="Arial" w:eastAsia="Arial" w:hAnsi="Arial"/>
          <w:sz w:val="16"/>
          <w:szCs w:val="16"/>
          <w:color w:val="auto"/>
        </w:rPr>
        <w:t>In addition, in December 2010, the FMCSA introduced the Compliance Safety Accountability (“CSA”) motor carrier oversight program. Under CSA, the FMCSA monitors seven Behavior Analysis and Safety Improvement Categories, or BASICs, under which a motor carrier may be evaluated against established threshold scores for each such BASIC. In the event a motor carrier has one or more BASIC scores that exceeds the applicable threshold, the motor carrier has an increased risk of roadside inspection and/or compliance review by FMCSA. Under the Fixing America’s Surface Transportation Act, or the “FAST Act” signed into law on December 4, 2015, the FMCSA was required to engage the National Research Council to conduct a study of CSA and the Safety Measurement System (“SMS”) utilized by the CSA program. As a result of the FAST Act, the FMCSA announced the removal of the BASIC scores from public view and that such scores are expected to remain hidden from public view while changes to CSA are considered. In 2018, the FMCSA announced significant anticipated changes to CSA that if enacted would be expected to have a material impact on the current program. As of the end of 2021, no such changes to CSA have yet been enacted. No assurances can be given with respect to the changes that may be made to the CSA program, or any replacement or supplemental program, in the future and what impact new or revised motor carrier oversight programs implemented by the FMCSA could have on the Company, its motor carrier operations or the aggregate number of trucks that provide hauling capacity to the Company.</w:t>
      </w:r>
    </w:p>
    <w:p>
      <w:pPr>
        <w:spacing w:after="0" w:line="60" w:lineRule="exact"/>
        <w:rPr>
          <w:sz w:val="20"/>
          <w:szCs w:val="20"/>
          <w:color w:val="auto"/>
        </w:rPr>
      </w:pPr>
    </w:p>
    <w:p>
      <w:pPr>
        <w:ind w:left="560" w:firstLine="423"/>
        <w:spacing w:after="0" w:line="267" w:lineRule="auto"/>
        <w:rPr>
          <w:sz w:val="20"/>
          <w:szCs w:val="20"/>
          <w:color w:val="auto"/>
        </w:rPr>
      </w:pPr>
      <w:r>
        <w:rPr>
          <w:rFonts w:ascii="Arial" w:cs="Arial" w:eastAsia="Arial" w:hAnsi="Arial"/>
          <w:sz w:val="17"/>
          <w:szCs w:val="17"/>
          <w:i w:val="1"/>
          <w:iCs w:val="1"/>
          <w:color w:val="auto"/>
        </w:rPr>
        <w:t xml:space="preserve">Regulations focused on diesel emissions and other air quality matters. </w:t>
      </w:r>
      <w:r>
        <w:rPr>
          <w:rFonts w:ascii="Arial" w:cs="Arial" w:eastAsia="Arial" w:hAnsi="Arial"/>
          <w:sz w:val="17"/>
          <w:szCs w:val="17"/>
          <w:color w:val="auto"/>
        </w:rPr>
        <w:t>Focus on diesel emissions, climate change and related air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has led to efforts by federal, state and local governmental agencies to support legislation and regulations to limit the amount of carbon emissions, including emissions created by diesel engines utilized in tractors such as those operated by the Company’s BCO Independent Contractors and Truck Brokerage Carriers. Moreover, federal, state and local governmental agencies may also focus on regulation in relation to trailing equipment specifications in an effort to achieve, among other things, lower carbon emissions. For example, under the federal Clean Air Act, the U.S. Environmental Protection Agency (“EPA”) is responsible for prescribing national ambient air quality standards (“NAAQS”) for certain air pollutants, and each state is responsible for implementing those standards within its borders. Specifically, each state must adopt, and submit for the EPA’s approval, a state implementation plan (“SIP”) that provides for the implementation, maintenance, and enforcement of the NAAQS. In connection with its efforts to comply with the NAAQS, the California Air Resources Board (“CARB”) has implemented regulations that restrict the ability of certain tractors and trailers from operating in California and that impose emission standards on nearly all diesel-fueled trucks with gross vehicle weight ratings in excess of 14,000 lbs. that operate in California. Moreover, these emission standards are scheduled to become increasingly stringent such that by January 1, 2023, nearly all diesel-fueled trucks with gross vehicle weight ratings in excess of 14,000 lbs. that operate in California will be required to have a 2010 or newer model year engine. In 2012, the EPA formally approved certain CARB regulations as part of California’s SIP, including CARB’s “Regulation to Reduce Emissions of Diesel Particulate Matter, Oxides of Nitrogen and Other Criteria Pollutants from In-Use Heavy-Duty Diesel-Fueled Vehicles” (commonly referred to as the “Truck and Bus Regulation”) and “Regulation to Reduce Emissions of Diesel Particulate Matter, Oxides of Nitrogen and Other Criteria Pollutants from In-Use Heavy-Duty Diesel-Fueled Drayage Trucks” (commonly referred to as the “Drayage Truck Regulation”). The EPA thereafter received express authorization to enforce California’s SIP, including the Truck and Bus Regulation and the Drayage Truck Regulation. No assurances can be given with respect to the extent BCO Independent Contractors will choose to become CARB-compliant by purchasing a new or used CARB-compliant tractor, replacing the engine in their existing tractor with a CARB-compliant engine or performing an exhaust retrofit of their existing tractor by installing a particulate matter filter. Accordingly, many of the Company’s BCO Independent Contractors may choose not to haul loads that would require travel within California, which could affect the ability of the Company to service customer freight needs for freight originating from, delivering to or traveling through California. Furthermore, increased regulation of tractor or trailing equipment specifications, including emissions created by diesel engines,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59" w:lineRule="auto"/>
        <w:rPr>
          <w:sz w:val="20"/>
          <w:szCs w:val="20"/>
          <w:color w:val="auto"/>
        </w:rPr>
      </w:pPr>
      <w:r>
        <w:rPr>
          <w:rFonts w:ascii="Arial" w:cs="Arial" w:eastAsia="Arial" w:hAnsi="Arial"/>
          <w:sz w:val="18"/>
          <w:szCs w:val="18"/>
          <w:color w:val="auto"/>
        </w:rPr>
        <w:t>could create substantial costs for the Company’s third party capacity providers and, in turn, increase the cost of purchased transportation to the Company. An increase in the costs to purchase, lease or maintain tractor or trailing equipment or in purchased transportation cost caused by existing or new regulations without a corresponding increase in price to the customer could adversely affect Landstar, including its results of operations and financial condition.</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right="20" w:firstLine="423"/>
        <w:spacing w:after="0" w:line="269" w:lineRule="auto"/>
        <w:rPr>
          <w:sz w:val="20"/>
          <w:szCs w:val="20"/>
          <w:color w:val="auto"/>
        </w:rPr>
      </w:pPr>
      <w:r>
        <w:rPr>
          <w:rFonts w:ascii="Arial" w:cs="Arial" w:eastAsia="Arial" w:hAnsi="Arial"/>
          <w:sz w:val="17"/>
          <w:szCs w:val="17"/>
          <w:i w:val="1"/>
          <w:iCs w:val="1"/>
          <w:color w:val="auto"/>
        </w:rPr>
        <w:t xml:space="preserve">Potential changes in taxes. </w:t>
      </w:r>
      <w:r>
        <w:rPr>
          <w:rFonts w:ascii="Arial" w:cs="Arial" w:eastAsia="Arial" w:hAnsi="Arial"/>
          <w:sz w:val="17"/>
          <w:szCs w:val="17"/>
          <w:color w:val="auto"/>
        </w:rPr>
        <w:t>From time to time, various legislative proposals are introduced to increase federal, state, or local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cannot predict whether, or in what form, any increase in corporate income tax rates, motor fuel tax rates or other tax rates applicable to the transportation services provided by the Company will be enacted and, if enacted, how such increased tax rates may impact the Company. As an example, for every 100 basis point increase in the U.S. corporate income tax rate the Company would recognize a one-time tax charge of approximately $1,700,000 in connection with revaluing its ending net deferred tax liabilities at December 25, 2021. With respect to potential increases in fuel and similar taxes, it is unclear whether or not the Company’s Truck Brokerage Carriers would attempt to pass the increase on to the Company or if the Company will be able to reflect this potential increased cost of capacity, if any, in prices to customers. Any such increase in fuel taxes, without a corresponding increase in price to the customer, could have a material adverse effect on Landstar, including its results of operations and financial condition. Moreover, competition from other transportation service companies including those that provide non-trucking modes of transportation would likely increase if state or federal taxes on fuel were to increase without a corresponding increase in taxes imposed upon other modes of transportation.</w:t>
      </w:r>
    </w:p>
    <w:p>
      <w:pPr>
        <w:spacing w:after="0" w:line="74" w:lineRule="exact"/>
        <w:rPr>
          <w:sz w:val="20"/>
          <w:szCs w:val="20"/>
          <w:color w:val="auto"/>
        </w:rPr>
      </w:pPr>
    </w:p>
    <w:p>
      <w:pPr>
        <w:ind w:left="560" w:firstLine="423"/>
        <w:spacing w:after="0" w:line="275" w:lineRule="auto"/>
        <w:rPr>
          <w:sz w:val="20"/>
          <w:szCs w:val="20"/>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The Company uses both internally developed and purchased technology in conducting its business. Whether internally</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or purchased, it is possible that the use of these technologies could be claimed to infringe upon or violate the intellectual property rights of third parties. In the event that a claim is made against the Company by a third party for the infringement of intellectual property rights, any settlement or adverse judgment against the Company either in the form of increased costs of licensing or a cease and desist order in using the technology could have an adverse effect on the Company’s business and its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Company owns or leases various properties in the U.S., Canada and Mexico for the Company’s operations and administrative staff that support its independent commission sales agents, BCO Independent Contractors and other third party capacity providers. The transportation logistics segment’s primary facilities are located in Jacksonville, Florida and Rockford, Illinois. In addition, the Company’s corporate headquarters are located in Jacksonville, Florida. The Company also maintains a key freight staging and transload facility in Laredo, Texas. The Jacksonville, Florida, Rockford, Illinois and Laredo, Texas facilities are owned by the Company. The Company also maintains a network of owned and leased field operations centers in the United States and Canada in support of the ongoing recruitment and retention of its BCO Independent Contractors. Management believes that Landstar’s owned and leased properties are adequate for its current needs and that leased properties can be retained or replaced at an acceptable cost.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7, “</w:t>
      </w:r>
      <w:r>
        <w:rPr>
          <w:rFonts w:ascii="Arial" w:cs="Arial" w:eastAsia="Arial" w:hAnsi="Arial"/>
          <w:sz w:val="18"/>
          <w:szCs w:val="18"/>
          <w:i w:val="1"/>
          <w:iCs w:val="1"/>
          <w:color w:val="auto"/>
        </w:rPr>
        <w:t>Management’s Discussion and Analysis of Financial Condition and Results of Operations — Legal Proceedings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Common Stock of the Company is listed and traded on the NASDAQ Global Select Market under the symbol “LSTR.”</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reported last sale price per share of the Common Stock as reported on the NASDAQ Global Select Market on January 21, 2022 was $162.88 per share. As of such date, Landstar had 37,691,839 shares of Common Stock outstanding and had 121 stockholders of record of its Common Stock. However, the Company estimates that it has a significantly greater number of stockholders because a substantial number of the Company’s shares are held by brokers or dealers for their customers in street name.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Purchases of Equity Securities by the Company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information regarding the Company’s purchase of its common stock during the period from September 26, 2021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25, 2021, the Company’s fourth fiscal quarter:</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Total Number of Shares</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Total Number of</w:t>
            </w:r>
          </w:p>
        </w:tc>
        <w:tc>
          <w:tcPr>
            <w:tcW w:w="300" w:type="dxa"/>
            <w:vAlign w:val="bottom"/>
          </w:tcPr>
          <w:p>
            <w:pPr>
              <w:spacing w:after="0"/>
              <w:rPr>
                <w:sz w:val="12"/>
                <w:szCs w:val="12"/>
                <w:color w:val="auto"/>
              </w:rPr>
            </w:pPr>
          </w:p>
        </w:tc>
        <w:tc>
          <w:tcPr>
            <w:tcW w:w="15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4"/>
              </w:rPr>
              <w:t>Average Price</w:t>
            </w:r>
          </w:p>
        </w:tc>
        <w:tc>
          <w:tcPr>
            <w:tcW w:w="20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8"/>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Period</w:t>
            </w: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0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58"/>
        </w:trPr>
        <w:tc>
          <w:tcPr>
            <w:tcW w:w="3260" w:type="dxa"/>
            <w:vAlign w:val="bottom"/>
            <w:gridSpan w:val="3"/>
            <w:vMerge w:val="continue"/>
          </w:tcPr>
          <w:p>
            <w:pPr>
              <w:spacing w:after="0"/>
              <w:rPr>
                <w:sz w:val="13"/>
                <w:szCs w:val="13"/>
                <w:color w:val="auto"/>
              </w:rPr>
            </w:pPr>
          </w:p>
        </w:tc>
        <w:tc>
          <w:tcPr>
            <w:tcW w:w="14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8"/>
              </w:rPr>
              <w:t>Shares Purchased</w:t>
            </w:r>
          </w:p>
        </w:tc>
        <w:tc>
          <w:tcPr>
            <w:tcW w:w="300" w:type="dxa"/>
            <w:vAlign w:val="bottom"/>
          </w:tcPr>
          <w:p>
            <w:pPr>
              <w:spacing w:after="0"/>
              <w:rPr>
                <w:sz w:val="13"/>
                <w:szCs w:val="13"/>
                <w:color w:val="auto"/>
              </w:rPr>
            </w:pPr>
          </w:p>
        </w:tc>
        <w:tc>
          <w:tcPr>
            <w:tcW w:w="154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w w:val="93"/>
              </w:rPr>
              <w:t>Paid Per Share</w:t>
            </w:r>
          </w:p>
        </w:tc>
        <w:tc>
          <w:tcPr>
            <w:tcW w:w="20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1"/>
              </w:rPr>
              <w:t>Programs</w:t>
            </w:r>
          </w:p>
        </w:tc>
        <w:tc>
          <w:tcPr>
            <w:tcW w:w="15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26, 2021</w:t>
            </w: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1,503,984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Sept. 27, 2021 – Oct. 23, 2021</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1,503,984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 24, 2021 – Nov. 20, 2021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272,151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173.48</w:t>
            </w:r>
          </w:p>
        </w:tc>
        <w:tc>
          <w:tcPr>
            <w:tcW w:w="2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272,151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Nov. 21, 2021 – Dec. 25, 2021</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144,657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174.76</w:t>
            </w:r>
          </w:p>
        </w:tc>
        <w:tc>
          <w:tcPr>
            <w:tcW w:w="2080" w:type="dxa"/>
            <w:vAlign w:val="bottom"/>
            <w:gridSpan w:val="2"/>
          </w:tcPr>
          <w:p>
            <w:pPr>
              <w:jc w:val="right"/>
              <w:ind w:right="600"/>
              <w:spacing w:after="0"/>
              <w:rPr>
                <w:sz w:val="20"/>
                <w:szCs w:val="20"/>
                <w:color w:val="auto"/>
              </w:rPr>
            </w:pPr>
            <w:r>
              <w:rPr>
                <w:rFonts w:ascii="Arial" w:cs="Arial" w:eastAsia="Arial" w:hAnsi="Arial"/>
                <w:sz w:val="18"/>
                <w:szCs w:val="18"/>
                <w:color w:val="auto"/>
              </w:rPr>
              <w:t>144,657</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416,808</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173.92</w:t>
            </w:r>
          </w:p>
        </w:tc>
        <w:tc>
          <w:tcPr>
            <w:tcW w:w="2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416,808</w:t>
            </w: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December 7, 2021, the Landstar System, Inc. Board of Directors authorized the Company to purchase up to 1,912,824 additional shares of the Company’s Common Stock from time to time in the open market and in privately negotiated transactions. On December 9, 2019, the Landstar System, Inc. Board of Directors authorized the Company to purchase up to 1,849,068 shares of the Company’s Common Stock from time to time in the open market and in privately negotiated transactions. As of December 25, 2021, the Company had authorization to purchase in the aggregate up to 3,000,000 shares of its Common Stock under these programs. No specific expiration date has been assigned to the December 7, 2021 or December 9, 2019 authorizations.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Company maintains a stock compensation plan for members of its Board of Directors, the 2013 Directors Stock Compensation Plan (the “2013 DSCP”), and an employee equity incentive plan, the 2011 Equity Incentive Plan (the “2011 EIP”). The following table presents information related to securities authorized for issuance under these plans at December 25, 2021:</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40" w:type="dxa"/>
            <w:vAlign w:val="bottom"/>
            <w:gridSpan w:val="2"/>
            <w:vMerge w:val="restart"/>
          </w:tcPr>
          <w:p>
            <w:pPr>
              <w:jc w:val="center"/>
              <w:ind w:left="316"/>
              <w:spacing w:after="0"/>
              <w:rPr>
                <w:sz w:val="20"/>
                <w:szCs w:val="20"/>
                <w:color w:val="auto"/>
              </w:rPr>
            </w:pPr>
            <w:r>
              <w:rPr>
                <w:rFonts w:ascii="Arial" w:cs="Arial" w:eastAsia="Arial" w:hAnsi="Arial"/>
                <w:sz w:val="14"/>
                <w:szCs w:val="14"/>
                <w:b w:val="1"/>
                <w:bCs w:val="1"/>
                <w:color w:val="auto"/>
                <w:w w:val="92"/>
              </w:rPr>
              <w:t>Number of Securities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Weighted-average</w:t>
            </w:r>
          </w:p>
        </w:tc>
        <w:tc>
          <w:tcPr>
            <w:tcW w:w="2300" w:type="dxa"/>
            <w:vAlign w:val="bottom"/>
            <w:gridSpan w:val="3"/>
          </w:tcPr>
          <w:p>
            <w:pPr>
              <w:jc w:val="center"/>
              <w:ind w:left="596"/>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228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74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Outstanding Options</w:t>
            </w:r>
          </w:p>
        </w:tc>
        <w:tc>
          <w:tcPr>
            <w:tcW w:w="2040" w:type="dxa"/>
            <w:vAlign w:val="bottom"/>
            <w:gridSpan w:val="3"/>
          </w:tcPr>
          <w:p>
            <w:pPr>
              <w:jc w:val="center"/>
              <w:ind w:left="659"/>
              <w:spacing w:after="0" w:line="158" w:lineRule="exact"/>
              <w:rPr>
                <w:sz w:val="20"/>
                <w:szCs w:val="20"/>
                <w:color w:val="auto"/>
              </w:rPr>
            </w:pPr>
            <w:r>
              <w:rPr>
                <w:rFonts w:ascii="Arial" w:cs="Arial" w:eastAsia="Arial" w:hAnsi="Arial"/>
                <w:sz w:val="14"/>
                <w:szCs w:val="14"/>
                <w:b w:val="1"/>
                <w:bCs w:val="1"/>
                <w:color w:val="auto"/>
                <w:w w:val="93"/>
              </w:rPr>
              <w:t>Outstanding Options</w:t>
            </w:r>
          </w:p>
        </w:tc>
        <w:tc>
          <w:tcPr>
            <w:tcW w:w="740" w:type="dxa"/>
            <w:vAlign w:val="bottom"/>
          </w:tcPr>
          <w:p>
            <w:pPr>
              <w:spacing w:after="0"/>
              <w:rPr>
                <w:sz w:val="15"/>
                <w:szCs w:val="15"/>
                <w:color w:val="auto"/>
              </w:rPr>
            </w:pPr>
          </w:p>
        </w:tc>
        <w:tc>
          <w:tcPr>
            <w:tcW w:w="15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75"/>
        </w:trPr>
        <w:tc>
          <w:tcPr>
            <w:tcW w:w="31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w:t>
            </w:r>
          </w:p>
        </w:tc>
        <w:tc>
          <w:tcPr>
            <w:tcW w:w="4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3,559,598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Approved by Security Holders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Under the 2011 EIP, the issuance of (i) a non-vested share of Landstar Common Stock issued in the form of restricted stock and (ii) a share of Landstar Common Stock issued upon the vesting of a previously granted restricted stock unit each counts as the issuance of two securities against the number of securities available for future issuance. Included in the number of securities remaining available for future issuance under equity compensation plans were 56,782 shares of Common Stock reserved for issuance under the 2013 DSCP.</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86"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Financial Model Shareholder Returns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graph illustrates the return that would have been realized, assuming reinvestment of dividends, by an investor who invested $100 in each of the Company’s Common Stock, the Standard and Poor’s 500 Stock Index and the Dow Jones Transportation Stock Index for the period commencing December 31, 2016 through December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219710</wp:posOffset>
            </wp:positionV>
            <wp:extent cx="5692140" cy="3763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6. Reserved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10-K contain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the impact of the coronavirus (COVID-19) pandemic; an increase in the frequency or severity of accidents or other claims; unfavorable development of existing accident claims; dependence on third party insurance companies; dependence on independent commission sales agents; dependence on third party capacity providers; decreased demand for transportation services; U.S. foreign trade relationships; substantial industry competition; disruptions or failures in the Company’s computer systems; cyber and other information security incidents; dependence on key vendors; changes in fuel taxes; status of independent contractors; regulatory and legislative changes; regulations focused on diesel emissions and other air quality matters; intellectual property; and other operational, financial or legal risks or uncertainties detailed in this and Landstar’s other SEC filings from time to time and described in Item 1A in this Form 10-K under the heading “Risk Factors.”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Landstar System, Inc. and its subsidiary, Landstar System Holdings, Inc. (collectively referred to herein with their subsidiaries and other affiliated companies as “Landstar” or the “Company”), is a worldwide technology-enabled, asset-light provider of integrated transportation management solutions.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over 1,200 independent commission sales agents and over 101,000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$6.5 billion during the most recently completed fiscal year. The Company reports the results of two operating segments: the transportation logistics segment and the insurance segment.</w:t>
      </w:r>
    </w:p>
    <w:p>
      <w:pPr>
        <w:spacing w:after="0" w:line="185"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and as further described below, Landstar Metro and Landstar Blue. Transportation services offered by the Company include truckload and less-than-truckload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8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electronics and military equipment.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fiscal year 2021, revenue generated by BCO Independent Contractors, Truck Brokerage Carriers and railroads represented approximately 40%, 51% and 2%, respectively, of the Company’s consolidated revenue. Collectively, revenue generated by air and ocean cargo carriers represented approximately 5% of the Company’s consolidated revenue during fiscal year 2021.</w:t>
      </w:r>
    </w:p>
    <w:p>
      <w:pPr>
        <w:spacing w:after="0" w:line="19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During 2017, the Company incorporated Landstar Metro, S.A.P.I. de C.V., a transportation logistics company (“Landstar Metro”), based in Mexico City, Mexico. Landstar Metro provides freight and logistics services within the country of Mexico and in conjunction with Landstar’s U.S./Mexico cross-border services. The results of operations from Landstar Metro are presented as part of the Company’s transportation logistics segment. On September 20, 2017, Landstar Metro acquired substantially all of the assets of the asset-light transportation logistics business of a Mexican transportation logistics company. In connection with the acquisition, individuals affiliated with the seller subscribed for equity interests in Landstar Metro, and as of December 29, 2018, owned in the aggregate approximately 21% of its equity interests. On January 29, 2019, Landstar acquired all of the remaining equity interests in Landstar Metro held by its former minority equityholders. Accordingly, as of such date, Landstar Metro became a wholly owned subsidiary of the Company. Revenue from Landstar Metro represented less than 1% of the Company’s transportation logistics segment revenue during fiscal year 2021.</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On May 6, 2020, the Company formed a new subsidiary that was subsequently renamed Landstar Blue, LLC (“Landstar Blue”). Landstar Blue arranges truckload brokerage services with a focus on the contract services market. Landstar Blue also helps the Company to develop and test digital technologies and processes for the benefit of all Landstar independent commission sales agents. On June 15, 2020, Landstar Blue completed the acquisition of an independent agent of the Company whose business focused on truckload brokerage services. The results of operations from Landstar Blue are presented as part of the Company’s transportations logistics segment. Revenue from Landstar Blue represented less than 1% of the Company’s transportation logistics segment revenue during fiscal year 2021.</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fiscal year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Financial Condition and Results of Operations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Management believes the Company’s success principally depends on its ability to generate freight through its network of independent commission sales agents and to safely and efficiently deliver that freight utilizing third party capacity providers. Management believes the most significant factors to the Company’s success include increasing revenue, sourcing capacity, enabling technology-based tools and controlling costs, including insurance and claims.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digital technologies they may use to grow revenue and increase efficiencies at their businesses. The following table shows the number of Million Dollar Agents, the average revenue generated by these agents and the percent of consolidated revenue generated by these agents during the past three fiscal years: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2"/>
              </w:rPr>
              <w:t>Fiscal Years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980" w:type="dxa"/>
            <w:vAlign w:val="bottom"/>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98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Million Dollar Agents</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Average revenue generated per Million Dollar Agent</w:t>
            </w: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6,150,000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7,489,000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6,880,000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8"/>
              </w:rPr>
              <w:t>Percent of consolidated revenue generated by Million Dollar Agents</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change in the number of Million Dollar Agents on a year-over-year basis is influenced by many factors and is not solely the result of terminations of contractual relationships between agents and the Company, whether such terminations are initiated by the agent or the Company. Such other factors include consolidations among agencies or transactions in connection with ownership changes often due to retirement planning, estate planning or similar transitional matters. The change in the number of Million Dollar Agents on a year-over-year basis may also be affected by agents that remain with the Company yet experienced lower year-over-year revenue that resulted in such agent moving below the Million Dollar Agent category. Revenue from accounts formerly handled by terminated Million Dollar Agents is often retained by the Company as the customer may choose to transfer its account to an existing Landstar agent.</w:t>
      </w:r>
    </w:p>
    <w:p>
      <w:pPr>
        <w:spacing w:after="0" w:line="195"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 In fiscal year 2020, the change in the number of Million Dollar Agents was entirely attributable to agents generating under $5 million of Landstar revenue per year, as the Company experienced no change in fiscal year 2020 compared to fiscal year 2019 in the number of independent sales agents generating $5 million or more of Landstar revenue. During fiscal year 2020, the COVID-19 pandemic impacted the number of agents generating under $5 million of Landstar revenue both with respect to existing agents, some of whom had difficulty operating their small businesses during the pandemic due to personal issues, staffing issues and/or customer issues, and with respect to the Company’s ability to recruit new independent sales agents to the Landstar network, given the uncertain operating environment and challenges we experienced in building personal relationships with prospective agent candidates during the pandemic. In fiscal year 2021, the change in the number of Million Dollar Agents was attributable to growth in existing agents who were former Million Dollar Agents whose businesses were temporarily impacted in fiscal year 2020 by the COVID-19 pandemic as well as new agents and existing agents who were not formerly Million Dollar Agents. Included among the Company’s Million Dollar Agents in the 2021 fiscal year, the Company had 115 independent sales agencies that generated at least $10 million in Landstar revenue.</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 for the past three fiscal years: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Fiscal Years</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176"/>
        </w:trPr>
        <w:tc>
          <w:tcPr>
            <w:tcW w:w="310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88"/>
              </w:rPr>
              <w:t>Revenue generated through (in thousands):</w:t>
            </w:r>
          </w:p>
        </w:tc>
        <w:tc>
          <w:tcPr>
            <w:tcW w:w="24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16"/>
        </w:trPr>
        <w:tc>
          <w:tcPr>
            <w:tcW w:w="5520" w:type="dxa"/>
            <w:vAlign w:val="bottom"/>
            <w:gridSpan w:val="4"/>
          </w:tcPr>
          <w:p>
            <w:pPr>
              <w:ind w:left="360"/>
              <w:spacing w:after="0"/>
              <w:rPr>
                <w:sz w:val="20"/>
                <w:szCs w:val="20"/>
                <w:color w:val="auto"/>
              </w:rPr>
            </w:pPr>
            <w:r>
              <w:rPr>
                <w:rFonts w:ascii="Arial" w:cs="Arial" w:eastAsia="Arial" w:hAnsi="Arial"/>
                <w:sz w:val="18"/>
                <w:szCs w:val="18"/>
                <w:color w:val="auto"/>
              </w:rPr>
              <w:t>Truck transportation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Truckload: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1080"/>
              <w:spacing w:after="0"/>
              <w:rPr>
                <w:sz w:val="20"/>
                <w:szCs w:val="20"/>
                <w:color w:val="auto"/>
              </w:rPr>
            </w:pPr>
            <w:r>
              <w:rPr>
                <w:rFonts w:ascii="Arial" w:cs="Arial" w:eastAsia="Arial" w:hAnsi="Arial"/>
                <w:sz w:val="18"/>
                <w:szCs w:val="18"/>
                <w:color w:val="auto"/>
              </w:rPr>
              <w:t>Van equipment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3,525,830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2,192,254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2,095,345</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Unsided/platform equipment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1,549,037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1,119,272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1,254,781</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rPr>
                <w:sz w:val="20"/>
                <w:szCs w:val="20"/>
                <w:color w:val="auto"/>
              </w:rPr>
            </w:pPr>
            <w:r>
              <w:rPr>
                <w:rFonts w:ascii="Arial" w:cs="Arial" w:eastAsia="Arial" w:hAnsi="Arial"/>
                <w:sz w:val="18"/>
                <w:szCs w:val="18"/>
                <w:color w:val="auto"/>
              </w:rPr>
              <w:t>Less-than-truckload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117,505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97,546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98,324</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Other truck transportation (1)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770,846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406,709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316,879</w:t>
            </w:r>
          </w:p>
        </w:tc>
        <w:tc>
          <w:tcPr>
            <w:tcW w:w="200" w:type="dxa"/>
            <w:vAlign w:val="bottom"/>
            <w:shd w:val="clear" w:color="auto" w:fill="CCEEFF"/>
          </w:tcPr>
          <w:p>
            <w:pPr>
              <w:spacing w:after="0"/>
              <w:rPr>
                <w:sz w:val="18"/>
                <w:szCs w:val="18"/>
                <w:color w:val="auto"/>
              </w:rPr>
            </w:pPr>
          </w:p>
        </w:tc>
      </w:tr>
      <w:tr>
        <w:trPr>
          <w:trHeight w:val="223"/>
        </w:trPr>
        <w:tc>
          <w:tcPr>
            <w:tcW w:w="5520" w:type="dxa"/>
            <w:vAlign w:val="bottom"/>
            <w:gridSpan w:val="4"/>
          </w:tcPr>
          <w:p>
            <w:pPr>
              <w:ind w:left="1080"/>
              <w:spacing w:after="0"/>
              <w:rPr>
                <w:sz w:val="20"/>
                <w:szCs w:val="20"/>
                <w:color w:val="auto"/>
              </w:rPr>
            </w:pPr>
            <w:r>
              <w:rPr>
                <w:rFonts w:ascii="Arial" w:cs="Arial" w:eastAsia="Arial" w:hAnsi="Arial"/>
                <w:sz w:val="18"/>
                <w:szCs w:val="18"/>
                <w:color w:val="auto"/>
              </w:rPr>
              <w:t>Total truck transportation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5,963,218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3,815,781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3,765,329</w:t>
            </w:r>
          </w:p>
        </w:tc>
        <w:tc>
          <w:tcPr>
            <w:tcW w:w="200" w:type="dxa"/>
            <w:vAlign w:val="bottom"/>
          </w:tcPr>
          <w:p>
            <w:pPr>
              <w:spacing w:after="0"/>
              <w:rPr>
                <w:sz w:val="19"/>
                <w:szCs w:val="19"/>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Rail intermodal</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118,305</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360"/>
              <w:spacing w:after="0"/>
              <w:rPr>
                <w:sz w:val="20"/>
                <w:szCs w:val="20"/>
                <w:color w:val="auto"/>
              </w:rPr>
            </w:pPr>
            <w:r>
              <w:rPr>
                <w:rFonts w:ascii="Arial" w:cs="Arial" w:eastAsia="Arial" w:hAnsi="Arial"/>
                <w:sz w:val="18"/>
                <w:szCs w:val="18"/>
                <w:color w:val="auto"/>
              </w:rPr>
              <w:t>Ocean and air cargo carriers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327,160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121,485</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79,458</w:t>
            </w:r>
          </w:p>
        </w:tc>
        <w:tc>
          <w:tcPr>
            <w:tcW w:w="200" w:type="dxa"/>
            <w:vAlign w:val="bottom"/>
            <w:shd w:val="clear" w:color="auto" w:fill="CCEEFF"/>
          </w:tcPr>
          <w:p>
            <w:pPr>
              <w:spacing w:after="0"/>
              <w:rPr>
                <w:sz w:val="18"/>
                <w:szCs w:val="18"/>
                <w:color w:val="auto"/>
              </w:rPr>
            </w:pPr>
          </w:p>
        </w:tc>
      </w:tr>
      <w:tr>
        <w:trPr>
          <w:trHeight w:val="223"/>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6,537,568</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4,132,981</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4,084,577</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520" w:type="dxa"/>
            <w:vAlign w:val="bottom"/>
            <w:gridSpan w:val="4"/>
            <w:shd w:val="clear" w:color="auto" w:fill="CCEEFF"/>
          </w:tcPr>
          <w:p>
            <w:pPr>
              <w:ind w:left="360"/>
              <w:spacing w:after="0" w:line="195" w:lineRule="exact"/>
              <w:rPr>
                <w:sz w:val="20"/>
                <w:szCs w:val="20"/>
                <w:color w:val="auto"/>
              </w:rPr>
            </w:pPr>
            <w:r>
              <w:rPr>
                <w:rFonts w:ascii="Arial" w:cs="Arial" w:eastAsia="Arial" w:hAnsi="Arial"/>
                <w:sz w:val="18"/>
                <w:szCs w:val="18"/>
                <w:color w:val="auto"/>
                <w:w w:val="93"/>
              </w:rPr>
              <w:t>Revenue on loads hauled via BCO Independent Contractors included</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52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in total truck transportation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2,612,188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1,866,526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1,831,752</w:t>
            </w:r>
          </w:p>
        </w:tc>
        <w:tc>
          <w:tcPr>
            <w:tcW w:w="200" w:type="dxa"/>
            <w:vAlign w:val="bottom"/>
            <w:shd w:val="clear" w:color="auto" w:fill="CCEEFF"/>
          </w:tcPr>
          <w:p>
            <w:pPr>
              <w:spacing w:after="0"/>
              <w:rPr>
                <w:sz w:val="20"/>
                <w:szCs w:val="20"/>
                <w:color w:val="auto"/>
              </w:rPr>
            </w:pPr>
          </w:p>
        </w:tc>
      </w:tr>
      <w:tr>
        <w:trPr>
          <w:trHeight w:val="392"/>
        </w:trPr>
        <w:tc>
          <w:tcPr>
            <w:tcW w:w="5520" w:type="dxa"/>
            <w:vAlign w:val="bottom"/>
            <w:gridSpan w:val="4"/>
          </w:tcPr>
          <w:p>
            <w:pPr>
              <w:spacing w:after="0"/>
              <w:rPr>
                <w:sz w:val="20"/>
                <w:szCs w:val="20"/>
                <w:color w:val="auto"/>
              </w:rPr>
            </w:pPr>
            <w:r>
              <w:rPr>
                <w:rFonts w:ascii="Arial" w:cs="Arial" w:eastAsia="Arial" w:hAnsi="Arial"/>
                <w:sz w:val="18"/>
                <w:szCs w:val="18"/>
                <w:color w:val="auto"/>
              </w:rPr>
              <w:t>Number of loads: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rPr>
                <w:sz w:val="20"/>
                <w:szCs w:val="20"/>
                <w:color w:val="auto"/>
              </w:rPr>
            </w:pPr>
            <w:r>
              <w:rPr>
                <w:rFonts w:ascii="Arial" w:cs="Arial" w:eastAsia="Arial" w:hAnsi="Arial"/>
                <w:sz w:val="18"/>
                <w:szCs w:val="18"/>
                <w:color w:val="auto"/>
              </w:rPr>
              <w:t>Truckload: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Van equipment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1,422,734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1,141,261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1,167,414</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1080"/>
              <w:spacing w:after="0"/>
              <w:rPr>
                <w:sz w:val="20"/>
                <w:szCs w:val="20"/>
                <w:color w:val="auto"/>
              </w:rPr>
            </w:pPr>
            <w:r>
              <w:rPr>
                <w:rFonts w:ascii="Arial" w:cs="Arial" w:eastAsia="Arial" w:hAnsi="Arial"/>
                <w:sz w:val="18"/>
                <w:szCs w:val="18"/>
                <w:color w:val="auto"/>
              </w:rPr>
              <w:t>Unsided/platform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521,891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458,550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494,565</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Less-than-truckload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155,592</w:t>
            </w:r>
          </w:p>
        </w:tc>
        <w:tc>
          <w:tcPr>
            <w:tcW w:w="200" w:type="dxa"/>
            <w:vAlign w:val="bottom"/>
            <w:shd w:val="clear" w:color="auto" w:fill="CCEEFF"/>
          </w:tcPr>
          <w:p>
            <w:pPr>
              <w:spacing w:after="0"/>
              <w:rPr>
                <w:sz w:val="18"/>
                <w:szCs w:val="18"/>
                <w:color w:val="auto"/>
              </w:rPr>
            </w:pPr>
          </w:p>
        </w:tc>
      </w:tr>
      <w:tr>
        <w:trPr>
          <w:trHeight w:val="223"/>
        </w:trPr>
        <w:tc>
          <w:tcPr>
            <w:tcW w:w="5520" w:type="dxa"/>
            <w:vAlign w:val="bottom"/>
            <w:gridSpan w:val="4"/>
          </w:tcPr>
          <w:p>
            <w:pPr>
              <w:ind w:left="720"/>
              <w:spacing w:after="0"/>
              <w:rPr>
                <w:sz w:val="20"/>
                <w:szCs w:val="20"/>
                <w:color w:val="auto"/>
              </w:rPr>
            </w:pPr>
            <w:r>
              <w:rPr>
                <w:rFonts w:ascii="Arial" w:cs="Arial" w:eastAsia="Arial" w:hAnsi="Arial"/>
                <w:sz w:val="18"/>
                <w:szCs w:val="18"/>
                <w:color w:val="auto"/>
              </w:rPr>
              <w:t>Other truck transportation (1)</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300,710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206,305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188,689</w:t>
            </w:r>
          </w:p>
        </w:tc>
        <w:tc>
          <w:tcPr>
            <w:tcW w:w="200" w:type="dxa"/>
            <w:vAlign w:val="bottom"/>
          </w:tcPr>
          <w:p>
            <w:pPr>
              <w:spacing w:after="0"/>
              <w:rPr>
                <w:sz w:val="19"/>
                <w:szCs w:val="19"/>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Total 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2,429,310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1,969,140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2,006,260</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360"/>
              <w:spacing w:after="0"/>
              <w:rPr>
                <w:sz w:val="20"/>
                <w:szCs w:val="20"/>
                <w:color w:val="auto"/>
              </w:rPr>
            </w:pPr>
            <w:r>
              <w:rPr>
                <w:rFonts w:ascii="Arial" w:cs="Arial" w:eastAsia="Arial" w:hAnsi="Arial"/>
                <w:sz w:val="18"/>
                <w:szCs w:val="18"/>
                <w:color w:val="auto"/>
              </w:rPr>
              <w:t>Rail intermodal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47,590</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Ocean and air cargo carriers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30,110</w:t>
            </w:r>
          </w:p>
        </w:tc>
        <w:tc>
          <w:tcPr>
            <w:tcW w:w="200" w:type="dxa"/>
            <w:vAlign w:val="bottom"/>
            <w:shd w:val="clear" w:color="auto" w:fill="CCEEFF"/>
          </w:tcPr>
          <w:p>
            <w:pPr>
              <w:spacing w:after="0"/>
              <w:rPr>
                <w:sz w:val="18"/>
                <w:szCs w:val="18"/>
                <w:color w:val="auto"/>
              </w:rPr>
            </w:pPr>
          </w:p>
        </w:tc>
      </w:tr>
      <w:tr>
        <w:trPr>
          <w:trHeight w:val="223"/>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2,523,070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2,047,320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2,083,960</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520" w:type="dxa"/>
            <w:vAlign w:val="bottom"/>
            <w:gridSpan w:val="4"/>
            <w:shd w:val="clear" w:color="auto" w:fill="CCEEFF"/>
          </w:tcPr>
          <w:p>
            <w:pPr>
              <w:ind w:left="360"/>
              <w:spacing w:after="0" w:line="195" w:lineRule="exact"/>
              <w:rPr>
                <w:sz w:val="20"/>
                <w:szCs w:val="20"/>
                <w:color w:val="auto"/>
              </w:rPr>
            </w:pPr>
            <w:r>
              <w:rPr>
                <w:rFonts w:ascii="Arial" w:cs="Arial" w:eastAsia="Arial" w:hAnsi="Arial"/>
                <w:sz w:val="18"/>
                <w:szCs w:val="18"/>
                <w:color w:val="auto"/>
              </w:rPr>
              <w:t>Loads hauled via BCO Independent Contractors included in total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52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truck transportation</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1,039,630</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945,210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954,990</w:t>
            </w:r>
          </w:p>
        </w:tc>
        <w:tc>
          <w:tcPr>
            <w:tcW w:w="200" w:type="dxa"/>
            <w:vAlign w:val="bottom"/>
            <w:shd w:val="clear" w:color="auto" w:fill="CCEEFF"/>
          </w:tcPr>
          <w:p>
            <w:pPr>
              <w:spacing w:after="0"/>
              <w:rPr>
                <w:sz w:val="20"/>
                <w:szCs w:val="20"/>
                <w:color w:val="auto"/>
              </w:rPr>
            </w:pPr>
          </w:p>
        </w:tc>
      </w:tr>
      <w:tr>
        <w:trPr>
          <w:trHeight w:val="392"/>
        </w:trPr>
        <w:tc>
          <w:tcPr>
            <w:tcW w:w="5520" w:type="dxa"/>
            <w:vAlign w:val="bottom"/>
            <w:gridSpan w:val="4"/>
          </w:tcPr>
          <w:p>
            <w:pPr>
              <w:spacing w:after="0"/>
              <w:rPr>
                <w:sz w:val="20"/>
                <w:szCs w:val="20"/>
                <w:color w:val="auto"/>
              </w:rPr>
            </w:pPr>
            <w:r>
              <w:rPr>
                <w:rFonts w:ascii="Arial" w:cs="Arial" w:eastAsia="Arial" w:hAnsi="Arial"/>
                <w:sz w:val="18"/>
                <w:szCs w:val="18"/>
                <w:color w:val="auto"/>
              </w:rPr>
              <w:t>Revenue per load: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rPr>
                <w:sz w:val="20"/>
                <w:szCs w:val="20"/>
                <w:color w:val="auto"/>
              </w:rPr>
            </w:pPr>
            <w:r>
              <w:rPr>
                <w:rFonts w:ascii="Arial" w:cs="Arial" w:eastAsia="Arial" w:hAnsi="Arial"/>
                <w:sz w:val="18"/>
                <w:szCs w:val="18"/>
                <w:color w:val="auto"/>
              </w:rPr>
              <w:t>Truckload: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Van equipment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1080"/>
              <w:spacing w:after="0"/>
              <w:rPr>
                <w:sz w:val="20"/>
                <w:szCs w:val="20"/>
                <w:color w:val="auto"/>
              </w:rPr>
            </w:pPr>
            <w:r>
              <w:rPr>
                <w:rFonts w:ascii="Arial" w:cs="Arial" w:eastAsia="Arial" w:hAnsi="Arial"/>
                <w:sz w:val="18"/>
                <w:szCs w:val="18"/>
                <w:color w:val="auto"/>
              </w:rPr>
              <w:t>Unsided/platform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Less-than-truckload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rPr>
                <w:sz w:val="20"/>
                <w:szCs w:val="20"/>
                <w:color w:val="auto"/>
              </w:rPr>
            </w:pPr>
            <w:r>
              <w:rPr>
                <w:rFonts w:ascii="Arial" w:cs="Arial" w:eastAsia="Arial" w:hAnsi="Arial"/>
                <w:sz w:val="18"/>
                <w:szCs w:val="18"/>
                <w:color w:val="auto"/>
              </w:rPr>
              <w:t>Other truck transportation (1)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Total 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360"/>
              <w:spacing w:after="0"/>
              <w:rPr>
                <w:sz w:val="20"/>
                <w:szCs w:val="20"/>
                <w:color w:val="auto"/>
              </w:rPr>
            </w:pPr>
            <w:r>
              <w:rPr>
                <w:rFonts w:ascii="Arial" w:cs="Arial" w:eastAsia="Arial" w:hAnsi="Arial"/>
                <w:sz w:val="18"/>
                <w:szCs w:val="18"/>
                <w:color w:val="auto"/>
              </w:rPr>
              <w:t>Rail intermodal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2,486</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Ocean and air cargo carriers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200" w:type="dxa"/>
            <w:vAlign w:val="bottom"/>
            <w:shd w:val="clear" w:color="auto" w:fill="CCEEFF"/>
          </w:tcPr>
          <w:p>
            <w:pPr>
              <w:spacing w:after="0"/>
              <w:rPr>
                <w:sz w:val="18"/>
                <w:szCs w:val="18"/>
                <w:color w:val="auto"/>
              </w:rPr>
            </w:pPr>
          </w:p>
        </w:tc>
      </w:tr>
      <w:tr>
        <w:trPr>
          <w:trHeight w:val="432"/>
        </w:trPr>
        <w:tc>
          <w:tcPr>
            <w:tcW w:w="5520" w:type="dxa"/>
            <w:vAlign w:val="bottom"/>
            <w:gridSpan w:val="4"/>
          </w:tcPr>
          <w:p>
            <w:pPr>
              <w:ind w:left="360"/>
              <w:spacing w:after="0"/>
              <w:rPr>
                <w:sz w:val="20"/>
                <w:szCs w:val="20"/>
                <w:color w:val="auto"/>
              </w:rPr>
            </w:pPr>
            <w:r>
              <w:rPr>
                <w:rFonts w:ascii="Arial" w:cs="Arial" w:eastAsia="Arial" w:hAnsi="Arial"/>
                <w:sz w:val="18"/>
                <w:szCs w:val="18"/>
                <w:color w:val="auto"/>
                <w:w w:val="93"/>
              </w:rPr>
              <w:t>Revenue per load on loads hauled via BCO Independent Contractors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1,918</w:t>
            </w:r>
          </w:p>
        </w:tc>
        <w:tc>
          <w:tcPr>
            <w:tcW w:w="200" w:type="dxa"/>
            <w:vAlign w:val="bottom"/>
          </w:tcPr>
          <w:p>
            <w:pPr>
              <w:spacing w:after="0"/>
              <w:rPr>
                <w:sz w:val="24"/>
                <w:szCs w:val="24"/>
                <w:color w:val="auto"/>
              </w:rPr>
            </w:pPr>
          </w:p>
        </w:tc>
      </w:tr>
    </w:tbl>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Revenue by capacity type (as a % of total revenue):</w:t>
            </w:r>
          </w:p>
        </w:tc>
        <w:tc>
          <w:tcPr>
            <w:tcW w:w="13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Truck capacity providers:</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BCO Independent Contractors</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40%</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040" w:type="dxa"/>
            <w:vAlign w:val="bottom"/>
            <w:gridSpan w:val="2"/>
          </w:tcPr>
          <w:p>
            <w:pPr>
              <w:ind w:left="1080"/>
              <w:spacing w:after="0"/>
              <w:rPr>
                <w:sz w:val="20"/>
                <w:szCs w:val="20"/>
                <w:color w:val="auto"/>
              </w:rPr>
            </w:pPr>
            <w:r>
              <w:rPr>
                <w:rFonts w:ascii="Arial" w:cs="Arial" w:eastAsia="Arial" w:hAnsi="Arial"/>
                <w:sz w:val="18"/>
                <w:szCs w:val="18"/>
                <w:color w:val="auto"/>
              </w:rPr>
              <w:t>Truck Brokerage Carriers</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47%</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Rail intermodal</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Ocean and air cargo carriers</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ind w:left="1080" w:right="440" w:hanging="532"/>
        <w:spacing w:after="0" w:line="226" w:lineRule="auto"/>
        <w:tabs>
          <w:tab w:leader="none" w:pos="108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108" w:lineRule="exact"/>
        <w:rPr>
          <w:rFonts w:ascii="Arial" w:cs="Arial" w:eastAsia="Arial" w:hAnsi="Arial"/>
          <w:sz w:val="25"/>
          <w:szCs w:val="25"/>
          <w:color w:val="auto"/>
          <w:vertAlign w:val="superscript"/>
        </w:rPr>
      </w:pPr>
    </w:p>
    <w:p>
      <w:pPr>
        <w:ind w:left="1080" w:right="240" w:hanging="532"/>
        <w:spacing w:after="0" w:line="216" w:lineRule="auto"/>
        <w:tabs>
          <w:tab w:leader="none" w:pos="108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Includes primarily reinsurance premium revenue generated by the insurance segment and intra-Mexico transportation services revenue generated by Landstar Metro.</w:t>
      </w:r>
    </w:p>
    <w:p>
      <w:pPr>
        <w:sectPr>
          <w:pgSz w:w="11900" w:h="16838" w:orient="portrait"/>
          <w:cols w:equalWidth="0" w:num="1">
            <w:col w:w="11020"/>
          </w:cols>
          <w:pgMar w:left="320" w:top="486" w:right="559" w:bottom="1060" w:gutter="0" w:footer="0" w:header="0"/>
        </w:sectPr>
      </w:pP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20"/>
          </w:cols>
          <w:pgMar w:left="320" w:top="486" w:right="559" w:bottom="106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Purchased transportation</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Also critical to the Company’s success is its ability to secure capacity, particularly truck capacity, at rates that allow the Company to profitably transport customers’ freight. The following table summarizes the number of available truck capacity providers as of the end of the three most recent fiscal years: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4"/>
                <w:szCs w:val="14"/>
                <w:b w:val="1"/>
                <w:bCs w:val="1"/>
                <w:color w:val="auto"/>
              </w:rPr>
              <w:t>Dec. 25,</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Dec. 26,</w:t>
            </w:r>
          </w:p>
        </w:tc>
        <w:tc>
          <w:tcPr>
            <w:tcW w:w="2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28,</w:t>
            </w:r>
          </w:p>
        </w:tc>
      </w:tr>
      <w:tr>
        <w:trPr>
          <w:trHeight w:val="171"/>
        </w:trPr>
        <w:tc>
          <w:tcPr>
            <w:tcW w:w="698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7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BCO Independent Contractors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10,242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Truck Brokerage Carriers: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Approved and active </w:t>
            </w:r>
            <w:r>
              <w:rPr>
                <w:rFonts w:ascii="Arial" w:cs="Arial" w:eastAsia="Arial" w:hAnsi="Arial"/>
                <w:sz w:val="25"/>
                <w:szCs w:val="25"/>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60" w:type="dxa"/>
            <w:vAlign w:val="bottom"/>
            <w:shd w:val="clear" w:color="auto" w:fill="CCEEFF"/>
          </w:tcPr>
          <w:p>
            <w:pPr>
              <w:spacing w:after="0"/>
              <w:rPr>
                <w:sz w:val="18"/>
                <w:szCs w:val="18"/>
                <w:color w:val="auto"/>
              </w:rPr>
            </w:pP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Other approved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25,870</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22,972</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16,820</w:t>
            </w:r>
          </w:p>
        </w:tc>
        <w:tc>
          <w:tcPr>
            <w:tcW w:w="6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56,317</w:t>
            </w:r>
          </w:p>
        </w:tc>
        <w:tc>
          <w:tcPr>
            <w:tcW w:w="6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available truck capacity providers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101,403</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79,267</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65,871</w:t>
            </w:r>
          </w:p>
        </w:tc>
        <w:tc>
          <w:tcPr>
            <w:tcW w:w="6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Trucks provided by BCO Independent Contractors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60" w:type="dxa"/>
            <w:vAlign w:val="bottom"/>
            <w:shd w:val="clear" w:color="auto" w:fill="CCEEFF"/>
          </w:tcPr>
          <w:p>
            <w:pPr>
              <w:spacing w:after="0"/>
              <w:rPr>
                <w:sz w:val="18"/>
                <w:szCs w:val="18"/>
                <w:color w:val="auto"/>
              </w:rPr>
            </w:pPr>
          </w:p>
        </w:tc>
      </w:tr>
    </w:tbl>
    <w:p>
      <w:pPr>
        <w:spacing w:after="0" w:line="50" w:lineRule="exact"/>
        <w:rPr>
          <w:sz w:val="20"/>
          <w:szCs w:val="20"/>
          <w:color w:val="auto"/>
        </w:rPr>
      </w:pPr>
    </w:p>
    <w:p>
      <w:pPr>
        <w:ind w:left="540" w:hanging="424"/>
        <w:spacing w:after="0"/>
        <w:tabs>
          <w:tab w:leader="none" w:pos="5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Active refers to Truck Brokerage Carriers who moved at least one load in the 180 days immediately preceding the fiscal year end.</w:t>
      </w:r>
    </w:p>
    <w:p>
      <w:pPr>
        <w:spacing w:after="0" w:line="20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is based on either a negotiated rate for each load hauled or a contractually agreed-upon fixed rate per load. Purchased transportation paid to air cargo carriers is generally based on a negotiated rate for each load hauled and purchased transportation paid to ocean cargo carriers is generally based on contractually agreed-upon fixed rates per load.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Commissions to agents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Commissions to agents are based on contractually agreed-upon percentages of (i) revenue, (ii) revenue less the cost of purchased transportation, or</w:t>
      </w:r>
    </w:p>
    <w:p>
      <w:pPr>
        <w:spacing w:after="0" w:line="46"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less a contractually agreed upon percentage of revenue retained by Landstar and the cost of purchased transportation (the “retention</w:t>
      </w:r>
    </w:p>
    <w:p>
      <w:pPr>
        <w:spacing w:after="0" w:line="20" w:lineRule="exact"/>
        <w:rPr>
          <w:rFonts w:ascii="Arial" w:cs="Arial" w:eastAsia="Arial" w:hAnsi="Arial"/>
          <w:sz w:val="17"/>
          <w:szCs w:val="17"/>
          <w:color w:val="auto"/>
        </w:rPr>
      </w:pPr>
    </w:p>
    <w:p>
      <w:pPr>
        <w:jc w:val="both"/>
        <w:ind w:left="120" w:right="280"/>
        <w:spacing w:after="0" w:line="281" w:lineRule="auto"/>
        <w:rPr>
          <w:rFonts w:ascii="Arial" w:cs="Arial" w:eastAsia="Arial" w:hAnsi="Arial"/>
          <w:sz w:val="17"/>
          <w:szCs w:val="17"/>
          <w:color w:val="auto"/>
        </w:rPr>
      </w:pPr>
      <w:r>
        <w:rPr>
          <w:rFonts w:ascii="Arial" w:cs="Arial" w:eastAsia="Arial" w:hAnsi="Arial"/>
          <w:sz w:val="16"/>
          <w:szCs w:val="16"/>
          <w:color w:val="auto"/>
        </w:rPr>
        <w:t>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w:t>
      </w:r>
    </w:p>
    <w:p>
      <w:pPr>
        <w:spacing w:after="0" w:line="1"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Commissions to agents are recognized over the freight transit period as the performance obligation to the customer is completed.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operating costs, net of gains on asset sales/dispositions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Maintenance costs for Company-provided trailing equipment and BCO Independent Contractor recruiting and qualification costs are the largest components of other operating costs. Also included in other operating costs are trailer rental costs, the provision for uncollectible advances and other receivables due from BCO Independent Contractors and independent commission sales agents and gains/losses, if any, on sales of Company-owned trailing equipment.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Insurance and claims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insurance and claims cost, potential liability associated with accidents in the trucking industry is severe and occurrences are unpredictable.</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periods prior to May 1, 2019, Landstar retains liability for commercial trucking claims up to $5 million per occurrence and maintains various third party insurance arrangements for liabilities in excess of its $5 million self-insured retention. Effective May 1, 2019, the Company entered into a new three year commercial auto liability insurance arrangement for losses incurred between $5 million and $10 million (the “Initial Excess Policy”) with a third party insurance company. For commercial trucking claims incurred on or after May 1, 2019 through April 30, 2022, the Initial Excess Policy provides for a limit for a single loss of $5 million, with an aggregate limit of $15 million for each policy year, an aggregate limit of $20 million for the thirty-six month term ended April 30, 2022, and options to increase such aggregate limits for pre-established amounts of additional premium. If aggregate losses under the Initial Excess Policy exceed either the annual aggregate limit or the aggregate limit for the three year period ending April 30, 2022, and the Company did not elect to increase such aggregate limits for a pre-established amount of additional premium, Landstar would retain liability of up to $10 million per occurrence, inclusive of its $5 million self-insured retention for commercial trucking claims during the remainder of the applicable policy year(s). Moreover, as a result of the Company’s aggregate loss experience since it entered into the Initial Excess Policy, the Initial Excess Policy required the Company to pay additional premium relating to its existing coverage up to a pre-established maximum amount of $3.5 million, which was provided for in insurance and claims costs for the Company’s 2020 fiscal first quarter.</w:t>
      </w:r>
    </w:p>
    <w:p>
      <w:pPr>
        <w:spacing w:after="0" w:line="179"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6"/>
          <w:szCs w:val="16"/>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With respect to the annual policy year ending April 30, 2021, as compared to the annual policy year ended April 30, 2020, the Company experienced an increase of approximately $14 million, or over 170%, in the premiums charged by third party insurance companies to the Company for excess coverage for commercial trucking liabilities in excess of $10 million. Effective May 1, 2021, with respect to the annual policy year ending April 30, 2022, as compared to the annual policy year ended April 30, 2021, the Company experienced an increase of approximately $3 million, or 19%, in the premiums charged by third party insurance companies to the Company for excess coverage for commercial trucking liabilities in excess of $10 million. Moreover, the Company increased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hypothetical claim in the amount of</w:t>
      </w:r>
    </w:p>
    <w:p>
      <w:pPr>
        <w:spacing w:after="0" w:line="11"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$100 million incurred during the annual policy year ending April 30, 2022, the Company would have an aggregate financial exposure of approximately $18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6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Further, the Company retains liability of up to $1,000,000 for each general liability claim, up to $250,000 for each workers’ compensation claim and up to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During the 2021 fiscal year, employee compensation and benefits accounted for approximately 75%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primarily relate to depreciation of trailing equipment and information technology hardware and software.</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Costs of revenue</w:t>
      </w:r>
    </w:p>
    <w:p>
      <w:pPr>
        <w:spacing w:after="0" w:line="117"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our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Gross Profit, Variable Contribution, Gross Profit Margin and Variable Contribution Margin</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86"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reconciliations of gross profit to variable contribution and gross profit margin to variable contribution margin are each presented below:</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7"/>
              </w:rPr>
              <w:t>Fiscal Year</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6,537,568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4,132,981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4,084,577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Costs of revenue: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Purchased transportation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5,114,667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3,192,850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3,127,474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Commissions to agents</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costs of revenue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5,621,876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3,533,630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3,469,700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Trailing equipment depreciation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35,204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Information technology costs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Insurance-related costs (1)</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90,778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83,172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operating costs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Other costs of revenue</w:t>
            </w:r>
          </w:p>
        </w:tc>
        <w:tc>
          <w:tcPr>
            <w:tcW w:w="1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194,682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165,924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of revenue</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5,816,558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3,699,554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3,633,063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Plus: other costs of revenue</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165,924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Variable contribution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915,692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599,351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Variable contribution margin</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40" w:hanging="424"/>
        <w:spacing w:after="0" w:line="287"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w:t>
      </w:r>
    </w:p>
    <w:p>
      <w:pPr>
        <w:spacing w:after="0" w:line="2" w:lineRule="exact"/>
        <w:rPr>
          <w:rFonts w:ascii="Arial" w:cs="Arial" w:eastAsia="Arial" w:hAnsi="Arial"/>
          <w:sz w:val="16"/>
          <w:szCs w:val="16"/>
          <w:color w:val="auto"/>
        </w:rPr>
      </w:pPr>
    </w:p>
    <w:p>
      <w:pPr>
        <w:ind w:left="540" w:right="20"/>
        <w:spacing w:after="0" w:line="290" w:lineRule="auto"/>
        <w:rPr>
          <w:rFonts w:ascii="Arial" w:cs="Arial" w:eastAsia="Arial" w:hAnsi="Arial"/>
          <w:sz w:val="16"/>
          <w:szCs w:val="16"/>
          <w:color w:val="auto"/>
        </w:rPr>
      </w:pPr>
      <w:r>
        <w:rPr>
          <w:rFonts w:ascii="Arial" w:cs="Arial" w:eastAsia="Arial" w:hAnsi="Arial"/>
          <w:sz w:val="16"/>
          <w:szCs w:val="16"/>
          <w:color w:val="auto"/>
        </w:rPr>
        <w:t>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44% of the Company’s consolidated revenue in fiscal year 2021 was generated under transactions that pay a fixed percentage of revenue to the third party capacity provider and/or agents while 56% was generated under transactions that pay a variable percentage of revenue to the third party capacity provider and/or agents.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income as a percentage of gross profit and operating income as a percentage of variable contribution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89"/>
              </w:rPr>
              <w:t>Fiscal Year</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880" w:type="dxa"/>
            <w:vAlign w:val="bottom"/>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8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$721,010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$433,427</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$451,514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$505,668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$252,950</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$298,904</w:t>
            </w:r>
          </w:p>
        </w:tc>
        <w:tc>
          <w:tcPr>
            <w:tcW w:w="2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as % of gross profit</w:t>
            </w:r>
          </w:p>
        </w:tc>
        <w:tc>
          <w:tcPr>
            <w:tcW w:w="2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70.1%</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66.2%</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Variable contribution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$915,692</w:t>
            </w:r>
          </w:p>
        </w:tc>
        <w:tc>
          <w:tcPr>
            <w:tcW w:w="3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$599,351</w:t>
            </w: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$614,877</w:t>
            </w:r>
          </w:p>
        </w:tc>
        <w:tc>
          <w:tcPr>
            <w:tcW w:w="240" w:type="dxa"/>
            <w:vAlign w:val="bottom"/>
          </w:tcPr>
          <w:p>
            <w:pPr>
              <w:spacing w:after="0"/>
              <w:rPr>
                <w:sz w:val="24"/>
                <w:szCs w:val="24"/>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$505,668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$252,950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$298,904</w:t>
            </w:r>
          </w:p>
        </w:tc>
        <w:tc>
          <w:tcPr>
            <w:tcW w:w="24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Operating income as % of variable contribution</w:t>
            </w:r>
          </w:p>
        </w:tc>
        <w:tc>
          <w:tcPr>
            <w:tcW w:w="2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55.2%</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42.2%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48.6%</w:t>
            </w:r>
          </w:p>
        </w:tc>
      </w:tr>
    </w:tbl>
    <w:p>
      <w:pPr>
        <w:spacing w:after="0" w:line="183"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increase in operating income as a percentage of gross profit from fiscal year 2020 to fiscal year 2021 resulted from operating income increasing at a more rapid percentage rate than the increase in gross profit, as the Company was able to scale our fixed cost infrastructure, primarily certain components of selling, general and administrative costs, across a larger gross profit base. The decrease in operating income as a percentage of gross profit from fiscal year 2019 to fiscal year 2020 resulted from operating income decreasing at a more rapid percentage rate than the decrease in gross profit, primarily due to the impact of one-time costs related to buyouts of certain agent incentive commission arrangements and impairment charges.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increase in operating income as a percentage of variable contribution from fiscal year 2020 to fiscal year 2021 resulted from operating income increasing at a more rapid percentage rate than the increase in variable contribution, as the Company was able to scale our fixed cost infrastructure, primarily certain components of selling, general and administrative costs, as well as our other costs of revenue, across a larger variable contribution base. The decrease in operating income as a percentage of variable contribution from fiscal year 2019 to fiscal year 2020 resulted from operating income decreasing at a more rapid percentage rate than the decrease in variable contribution, primarily due to the impact of one-time costs related to buyouts of certain agent incentive commission arrangements and impairment charges.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 Ended December 25, 2021 Compared to Fiscal Year Ended December 26, 2020</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Revenue for fiscal year 2021 was $6,537,568,000, an increase of $2,404,587,000, or 58%, compared to fiscal year 2020. Transportation revenue increased $2,389,192,000, or 59%. The increase in transportation revenue was attributable to increased revenue per load of approximately 29% and an increased number of loads hauled of approximately 23% compared to fiscal year 2020. The significant increase in revenue in 2021 from 2020 was primarily related to two factors: (1) consumer demand for durable goods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and e-commerce drove revenue during the 2021 period to record levels; and (2) ongoing supply chain disruptions in connection with the impact of the COVID-19 pandemic on the U.S. economy. In particular, the adverse impact of the COVID-19 pandemic on demand for the Company’s truck transportation services significantly accelerated during the last week of the Company’s 2020 first fiscal quarter. However, following the demand lows experienced by the Company in April and May 2020, demand for the Company’s truck transportation services sequentially increased throughout the remainder of the 2020 fiscal year and significantly accelerated in fiscal year 2021. This significant, rapid decrease in demand early in the pandemic was followed by a substantially longer and greater sequential increase in demand that was unprecedented in the history of the Company. Reinsurance premiums were $71,857,000 and $56,462,000 for fiscal years 2021 and 2020, respectively. The increase in revenue from reinsurance premiums was primarily attributable to increased premiums from a third party insurance company relating to unladen insurance provided to certain BCO Independent Contractors and an increase in the average number of trucks provided by BCO Independent Contractors in fiscal year 2021 compared to fiscal year 2020.</w:t>
      </w:r>
    </w:p>
    <w:p>
      <w:pPr>
        <w:spacing w:after="0" w:line="19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Truck transportation revenue generated by BCO Independent Contractors and Truck Brokerage Carriers (together, the “third party truck capacity providers”) for fiscal year 2021 was $5,963,218,000, representing 91% of total revenue, an increase of $2,147,437,000, or 56%, compared to fiscal year 2020. Revenue per load on loads hauled by third party truck capacity providers increased approximately 27% compared to fiscal year 2020, and the number of loads hauled by third party truck capacity providers increased approximately 23% over the same period.</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increase in revenue per load on loads hauled via truck was primarily due to an extremely tight truck capacity environment experienced during fiscal year 2021. During fiscal year 2021, the demand for truck capacity, particularly with respect to van capacity, increased more rapidly than the supply of available truck capacity in the marketplace as the U.S. economy recovered from the impact of the COVID-19 pandemic coupled with the impact of domestic supply chain disruptions. Revenue per load on loads hauled via van equipment increased 29%, revenue per load on loads hauled via unsided/platform equipment increased 22%, revenue per load on less-than-truckload loadings increased 7% and revenue per load on loads hauled via other truck transportation increased 30% as compared to fiscal year 2020.</w:t>
      </w:r>
    </w:p>
    <w:p>
      <w:pPr>
        <w:spacing w:after="0" w:line="17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increase in the number of loads hauled via truck compared to fiscal year 2020 was due to a broad-based increase in demand for the Company’s truck transportation services during fiscal year 2021, particularly those services provided via van equipment and other truck transportation loadings, primarily power-only, compared to fiscal year 2020. Loads hauled via van equipment increased 25%, loads hauled via unsided/platform equipment increased 14%, loads hauled via less-than-truckload increased 13% and loads hauled via other truck transportation increased 46% as compared to fiscal year 2020.</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Fuel surcharges billed to customers on revenue generated by BCO Independent Contractors are excluded from revenue. Fuel surcharges on Truck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Brokerage Carrier revenue identified separately in billings to customers and included as a component of Truck Brokerage Carrier revenue were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$107,776,000 and $60,118,000 in fiscal years 2021 and 2020, respectively. It should be noted that billings to many customers of the Company’s truck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brokerage services include a single all-in rate that does not separately identify fuel surcharges on loads hauled via Truck Brokerage Carriers.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Accordingly, the overall impact of changes in fuel prices on revenue and revenue per load on loads hauled via truck is likely to be greater than that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Transportation revenue generated by rail intermodal, air cargo and ocean cargo carriers (collectively, the “multimode capacity providers”) for fiscal year 2021 was $487,134,000, or 7% of total revenue, an increase of $240,641,000, or 98%, compared to fiscal year 2020. Revenue per load on revenue generated by multimode capacity providers increased approximately 65% in fiscal year 2021 compared to fiscal year 2020, and the number of loads hauled by multimode capacity providers increased approximately 20% over the same period. Revenue per load on loads hauled by multimode capacity providers increased for all modes, primarily due to strong U.S. and global economic recoveries coupled with the impact of global supply chain disruptions which were particularly acute with respect to international ocean and air freight. Revenue per load on loads hauled via ocean, air and rail intermodal increased 86%, 54% and 24%, respectively, during fiscal year 2021 as compared to fiscal year 2020. Revenue per load on revenue generated by multimode capacity providers is influenced by many factors, including revenue mix among the various modes of transportation used, length of haul, complexity of freight, density of freight lanes, fuel costs and availability of capacity. The increase in the number of loads hauled by multimode capacity providers was due to a broad-based increase in demand across many customers for the Company’s rail, air and ocean service offerings during fiscal year 2021.</w:t>
      </w:r>
    </w:p>
    <w:p>
      <w:pPr>
        <w:spacing w:after="0" w:line="18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Purchased transportation was 78.2% and 77.3% of revenue in fiscal years 2021 and 2020, respectively. The increase in purchased transportation as a percentage of revenue was primarily due to an increased percentage of revenue contributed by Truck Brokerage Carriers, which typically has a higher rate of purchased transportation than revenue generated by BCO Independent Contractors, and an increased rate of purchased transportation on revenue generated by Truck Brokerage Carriers, partially offset by a decreased rate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purchased transportation paid on revenue generated by BCO Independent Contractor due to (i) an increased percentage of revenue generated by BCO Independent Contractors who use Landstar-owned trailers and (ii) the impact of COVID-19 pandemic relief incentive payments in fiscal year 2020. Under that program, for each load delivered by a BCO Independent Contractor with a confirmed delivery date from April 1, 2020 through May 30, 2020, the Company paid each of the BCO Independent Contractor who hauled the load and the independent commission sales agent who dispatched the load an extra $50. Commissions to agents were 7.8% and 8.2% of revenue in fiscal years 2021 and 2020, respectively. The decrease in commissions to agents as a percentage of revenue was primarily attributable to an increased cost of purchased transportation as a percentage of revenue on revenue generated by Truck Brokerage Carriers and a decreased commission rate paid on revenue generated by BCO Independent Contractors due to the elimination as of the end of the 2020 fiscal year of certain incentive commission arrangements formerly paid to agents relating to a discontinued BCO recruitment and retention program and the impact of the COVID-19 pandemic relief incentive payments to agents included in fiscal year 2020. The Company paid a total of $12,593,000 in COVID-19 pandemic relief incentive payments during fiscal year 2020.</w:t>
      </w:r>
    </w:p>
    <w:p>
      <w:pPr>
        <w:spacing w:after="0" w:line="16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Investment income was $2,857,000 and $3,399,000 in fiscal years 2021 and 2020, respectively. The decrease in investment income was primarily attributable to lower average rates of return on investments during fiscal year 2021, partially offset by a higher average investment balance held by the insurance segment during fiscal year 2021.</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Other operating costs increased $6,068,000 in fiscal year 2021 compared to fiscal year 2020. The increase in other operating costs compared to the prior year was primarily due to increased trailing equipment maintenance costs, increased BCO recruiting and qualification costs, decreased gains on sales of used trailing equipment, the impact of the resumption of an event for the Company’s BCO Independent Contractors that was cancelled in 2020 due to the COVID-19 pandemic and increased payments of up to $2,000 made to BCO Independent Contractors who tested positive for COVID-19 and were placed out of service.</w:t>
      </w:r>
    </w:p>
    <w:p>
      <w:pPr>
        <w:spacing w:after="0" w:line="188"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Insurance and claims increased $17,690,000 in fiscal year 2021 compared to fiscal year 2020. The increase in insurance and claims expense compared to the prior year was primarily due to an increase in insurance premiums, primarily for commercial trucking liability coverage, in fiscal year 2021, increased severity of current year trucking claims during the 2021 period and an increase in BCO miles traveled in fiscal year 2021, partially offset by a $5,000,000 charge for the Company’s self-insured retention with respect to a tragic vehicular accident involving a fatality during fiscal year 2020 and a $3,500,000 charge relating to additional premium the Company was required to pay under the Initial Excess Policy in connection with certain aggregated losses incurred during fiscal year 2020. During fiscal years 2021 and 2020, insurance and claims costs included $9,708,000 and $9,196,000 of net unfavorable adjustments to prior years’ claims estimates, respectively.</w:t>
      </w:r>
    </w:p>
    <w:p>
      <w:pPr>
        <w:spacing w:after="0" w:line="17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Selling, general and administrative costs increased $53,645,000 in fiscal year 2021 compared to fiscal year 2020. The increase in selling, general and administrative costs compared to prior year was attributable to increased stock-based compensation expense, an increased provision for incentive compensation and increased wages, partially offset by a decreased provision for customer bad debt. Included in selling, general and administrative costs was stock-based compensation expense of $27,537,000 and $4,639,000 for fiscal years 2021 and 2020, respectively, and incentive compensation expense of $29,361,000 and $7,841,000 for fiscal years 2021 and 2020, respectively.</w:t>
      </w:r>
    </w:p>
    <w:p>
      <w:pPr>
        <w:spacing w:after="0" w:line="176"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Depreciation and amortization increased $3,754,000 in fiscal year 2021 compared to fiscal year 2020. The increase in depreciation and amortization expenses was primarily due to increased depreciation on information technology assets.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the 2020 second fiscal quarter, the Company recorded a non-cash impairment charge of $2,582,000 in respect of certain assets, primarily customer contract and related customer relationship intangible assets, acquired on September 20, 2017, along with substantially all of the other assets of the asset-light transportation logistics business of Fletes Avella, S.A. de C.V. (“Fletes Avella”). There was no corresponding goodwill impairment charge recorded as the fair value of the Company’s Mexico and cross-border reporting unit continued to significantly exceed its carrying value as of December 26, 2020.</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2020 fourth fiscal quarter, the Company recorded commission program termination costs of $15,494,000 related to buyouts of certain incentive commission arrangements with several of its independent sales agents due to the Company’s discontinuation of a truck owner-operator recruitment and retention program formerly involving those agents.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and debt expense in fiscal year 2021 increased $23,000 compared to fiscal year 2020.</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provisions for income taxes for fiscal years 2021 and 2020 were based on estimated annual effective income tax rates of 24.4% and 24.2%, respectively, adjusted for discrete events, such as benefits resulting from stock-based awards. The increase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estimated annual effective income tax rate was primarily attributable to an increased provision for nondeductible executive compensation during the 2021 period. The actual effective income tax rate for fiscal year 2021 was 24.0%, which was higher than the statutory federal income tax rate of 21% primarily attributable to state taxes and nondeductible executive compensation, partially offset by excess tax benefits realized on stock-based awards. The actual effective income tax rate for fiscal year 2020 was 22.8%, which was higher than the statutory federal income tax rate of 21% primarily attributable to state taxes and the meals and entertainment exclusion, partially offset by excess tax benefits realized on stock-based awards, the favorable resolution of certain tax matters during the 2020 fiscal year and state tax refunds. The effective income tax rate in fiscal year 2021 of 24.0% was lower than the 24.4% estimated annual effective income tax rate primarily due to excess tax benefits recognized on stock-based compensation arrangements in fiscal year 2021. The effective income tax rate in fiscal year 2020 of 22.8% was lower than the 24.2% estimated annual effective income tax rate primarily due to excess tax benefits recognized on stock-based compensation arrangements, the favorable resolution of certain tax matters during the 2020 fiscal year and state tax refunds in the 2020 fiscal year.</w:t>
      </w:r>
    </w:p>
    <w:p>
      <w:pPr>
        <w:spacing w:after="0" w:line="18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Net income was $381,524,000, or $9.98 per diluted share, in fiscal year 2021. Net income was $192,106,000, or $4.98 per diluted share, in fiscal year 2020. Net income during fiscal year 2020 was unfavorably impacted by $15,494,000, or $0.31 per diluted share, related to a one-time cost to buyout certain incentive commission arrangements with several agents, $12,593,000, or $0.25 per diluted share, related to the impact of the COVID-19 pandemic relief incentive payments and $2,582,000, or $0.05 per diluted share, of non-cash impairment charges related to certain assets, primarily customer contract and related customer relationship intangible assets of the Company’s Mexico subsidiaries.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 Ended December 26, 2020 Compared to Fiscal Year Ended December 28, 2019</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Revenue for fiscal year 2020 was $4,132,981,000, an increase of $48,404,000, or 1%, compared to fiscal year 2019. Transportation revenue increased $48,183,000, or 1%. The increase in transportation revenue was attributable to an increased revenue per load of approximately 3%, partially offset by a decreased number of loads hauled of approximately 2% in fiscal year 2020 compared to fiscal year 2019. Reinsurance premiums were $56,462,000 and $56,241,000 for fiscal years 2020 and 2019, respectively.</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Truck transportation revenue generated by third party truck capacity providers for fiscal year 2020 was $3,815,781,000, representing 92% of total revenue, an increase of $50,452,000, or 1%, compared to fiscal year 2019. Revenue per load on loads hauled by third party truck capacity providers increased approximately 3% in fiscal year 2020 compared to fiscal year 2019, while the number of loads hauled by third party truck capacity providers decreased approximately 2% in fiscal year 2020 compared to fiscal year 2019.</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increase in revenue per load on loads hauled via truck was entirely due to a comparatively tighter market for van truckload capacity during the second half of 2020. The decrease in the number of loads hauled via truck compared to fiscal year 2019 was due to the unfavorable impact of the COVID-19 pandemic on demand for the Company’s truck transportation services at the onset of the pandemic and the relative softness in the U.S. manufacturing sector in the 2020 period compared to the 2019 period, mostly offset by consumer driven demand for van services that began mid-summer 2020. The increasingly tight market for van truckload capacity during the 2020 second half was attributable to strong demand for e-commerce, foodstuffs, building products and other consumer durables.</w:t>
      </w:r>
    </w:p>
    <w:p>
      <w:pPr>
        <w:spacing w:after="0" w:line="19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During the 2020 fiscal year compared to the 2019 fiscal year, revenue per load on loads hauled via van equipment increased 7%, reflecting increased consumer demand, while revenue per load on loads hauled via unsided/platform equipment decreased 4%, reflecting softness in the U.S. manufacturing sector. Also adversely impacting revenue per load on loads hauled via unsided/platform equipment was a decrease in revenue per load on heavy specialized loadings of 10% in the 2020 fiscal year compared to the 2019 fiscal year. Additionally, revenue per load on less-than-truckload loadings decreased 5% while revenue per load on loads hauled via other truck transportation increased 17% from fiscal year 2019 to fiscal year 2020.</w:t>
      </w:r>
    </w:p>
    <w:p>
      <w:pPr>
        <w:spacing w:after="0" w:line="161"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During fiscal year 2020 as compared to fiscal year 2019, loads hauled via van equipment decreased 2% and loads hauled via unsided/platform equipment decreased 7%, for similar reasons as described above with respect to the overall decrease in the number of loads hauled via truck in fiscal year 2020 compared to fiscal year 2019. Less-than-truckload volumes increased 5% and loads hauled via other truck transportation increased 9% in fiscal year 2020 compared to fiscal year 2019.</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Fuel surcharges billed to customers on revenue generated by BCO Independent Contractors are excluded from revenue. Fuel surcharges on Truck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Brokerage Carrier revenue identified separately in billings to customers and included as a component of Truck Brokerage Carrier revenue were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$60,118,000 and $79,486,000 in fiscal years 2020 and 2019, respectively. It should be noted that billings to many customers of the Company’s truck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brokerage services include a single all-in rate that does not separately identify fuel surcharges on loads hauled via Truck Brokerage Carriers.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Accordingly, the overall impact of changes in fuel prices on revenue and revenue per load on loads hauled via truck is likely to be greater than that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Transportation revenue generated by multimode capacity providers for fiscal year 2020 was $246,493,000, or 6% of total revenue, an increase of $6,703,000, or 3%, compared to fiscal year 2019. Revenue per load on revenue generated by multimode capacity providers increased approximately 2% in the 2020 fiscal year compared to the 2019 fiscal year, and the number of loads hauled by multimode capacity providers increased approximately 1% over the same period. The increase in revenue per load of 2% on loads hauled by multimode capacity providers was primarily attributable to increased revenue per load on ocean shipments. Revenue per load on revenue generated by multimode capacity providers is influenced by many factors, including revenue mix among the various modes of transportation used, length of haul, complexity of freight, density of freight lanes, fuel costs and availability of capacity. The increase in the number of loads hauled by multimode capacity providers was primarily due to a 14% increase in air loadings, primarily attributable to increased loadings at two specific agencies.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Purchased transportation was 77.3% and 76.6% of revenue in fiscal years 2020 and 2019, respectively. The increase in purchased transportation as a percentage of revenue was primarily due to an increased rate of purchased transportation paid on Truck Brokerage Carrier revenue and COVID-19 pandemic relief incentive payments made to BCO Independent Contractors. Under the pandemic relief program, for each load delivered by a BCO Independent Contractor with a confirmed delivery date from April 1, 2020 through May 30, 2020, the Company paid each of the BCO Independent Contractor who hauled the load and the independent commission sales agent who dispatched the load an extra $50. Commissions to agents were 8.2% and 8.4% of revenue in fiscal years 2020 and 2019, respectively. Commissions to agents on Truck Brokerage Carrier revenue were lower as compared to the 2019 fiscal year due to the impact of a decreased net revenue margin on revenue generated by Truck Brokerage Carriers, whereas commissions to agents on BCO Independent Contractor revenue were higher during the 2020 fiscal year due to the impact of COVID-19 pandemic relief incentive payments. The Company paid a total of $12,593,000 in COVID-19 pandemic relief incentive payments to BCO Independent Contractors and independent commission sales agents in April and May 2020.</w:t>
      </w:r>
    </w:p>
    <w:p>
      <w:pPr>
        <w:spacing w:after="0" w:line="18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Investment income was $3,399,000 and $5,041,000 in fiscal years 2020 and 2019, respectively. The decrease in investment income was primarily attributable to lower average rates of return on investments during fiscal year 2020, partially offset by a slightly higher average investment balance held by the insurance segment during fiscal year 2020.</w:t>
      </w:r>
    </w:p>
    <w:p>
      <w:pPr>
        <w:spacing w:after="0" w:line="184"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Other operating costs decreased $6,811,000 in fiscal year 2020 compared to fiscal year 2019. The decrease in other operating costs compared to the prior year was primarily due to a decreased provision for contractor bad debt, the impact of the cancellation of an event for the Company’s BCO Independent Contractors due to the COVID-19 pandemic, increased gains on the sales of used trailing equipment, decreased trailer rental costs and decreased BCO recruiting and on-boarding costs due to the impact of the COVID-19 pandemic.</w:t>
      </w:r>
    </w:p>
    <w:p>
      <w:pPr>
        <w:spacing w:after="0" w:line="17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Insurance and claims increased $7,454,000 in fiscal year 2020 compared to fiscal year 2019. The increase in insurance and claims expense compared to the prior year was primarily due to a $5,000,000 charge for the Company’s self-insured retention with respect to a tragic vehicular accident involving a fatality, a $3,500,000 charge relating to additional premium the Company paid under the Initial Excess Policy in connection with certain aggregated losses, increased insurance premiums incurred for commercial trucking liability coverage following the Company’s May 1, 2020 insurance renewal and increased severity of current year claims, partially offset by decreased net unfavorable development of prior years’ claims in the 2020 period. During fiscal years 2020 and 2019, insurance and claims costs included $9,196,000 and $16,679,000 of net unfavorable adjustments to prior years’ claims estimates, respectively.</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Selling, general and administrative costs increased $8,680,000 in fiscal year 2020 compared to fiscal year 2019. The increase in selling, general and administrative costs compared to prior year was attributable to an increased provision for incentive compensation, increased information technology costs and an increased provision for customer bad debt, partially offset by decreased travel and entertainment costs related to the impact of the COVID-19 pandemic and decreased agent convention costs. Included in selling, general and administrative costs was incentive compensation expense of $7,841,000 and $1,517,000 for the 2020 and 2019 fiscal years, respectively.</w:t>
      </w:r>
    </w:p>
    <w:p>
      <w:pPr>
        <w:spacing w:after="0" w:line="1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Depreciation and amortization increased $1,387,000 in fiscal year 2020 compared to fiscal year 2019. The increase in depreciation and amortization expenses was primarily due to increased depreciation on information technology assets, partially offset by a decrease in trailing equipment depreciation.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During the 2020 second fiscal quarter, the Company recorded a non-cash impairment charge of $2,582,000 in respect of certain assets, primarily customer contract and related customer relationship intangible assets, acquired on September 20, 2017, along with substantially all of the other assets of the asset-light transportation logistics business of Fletes Avella, S.A. de C.V. (“Fletes Avella”). As previously disclosed in Item 1A. Risk Factors in the Company’s Quarterly Report on Form 10-Q for the 2020 first quarter, negative macroeconomic trends in Mexico caused significant disruptions in the Mexican economy. Accordingly, management performed impairment tests of the carrying values of certain assets that primarily relate to intra-Mexico business acquired as a part of the Fletes Avella acquisition. The impairment tests resulted in an impairment charge of $2,582,000, as the negative macroeconomic trends in Mexico resulted in updated financial projections relating to these intangible assets to be substantially below those originally anticipated at the acquisition date. There was no corresponding goodwill impairment charge recorded as the fair value of the Company’s Mexico and cross-border reporting unit continues to significantly exceed its carrying value as of December 26, 2020.</w:t>
      </w:r>
    </w:p>
    <w:p>
      <w:pPr>
        <w:spacing w:after="0" w:line="16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2020 fourth fiscal quarter, the Company recorded commission program termination costs of $15,494,000 related to buyouts of certain incentive commission arrangements with several of its independent sales agents due to the Company’s discontinuation of a truck owner-operator recruitment and retention program formerly involving those agents.</w:t>
      </w:r>
    </w:p>
    <w:p>
      <w:pPr>
        <w:spacing w:after="0" w:line="184"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Interest and debt expense in fiscal year 2020 increased $812,000 compared to fiscal year 2019. The increase in interest and debt expense was primarily attributable to decreased interest income earned on cash balances held by the transportation logistics segment.</w:t>
      </w:r>
    </w:p>
    <w:p>
      <w:pPr>
        <w:spacing w:after="0" w:line="14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provisions for income taxes for both the 2020 and 2019 fiscal years were based on estimated annual effective income tax rates of 24.2%, adjusted for discrete events, such as benefits resulting from stock-based awards. The actual effective income tax rate for fiscal year 2020 was 22.8%, which was higher than the statutory federal income tax rate of 21%, primarily attributable to state taxes and the meals and entertainment exclusion, partially offset by excess tax benefits realized on stock-based awards, the favorable resolution of certain tax matters during the 2020 fiscal year and state tax refunds. The actual effective income tax rate for fiscal year 2019 was 23.0%, which was higher than the statutory federal income tax rate of 21% primarily attributable to state taxes and the meals and entertainment exclusion, partially offset by excess tax benefits realized on stock-based awards. The effective income tax rate in the 2020 fiscal year of 22.8% was lower than the 24.2% estimated annual effective income tax rate primarily due to excess tax benefits recognized on stock-based compensation arrangements, the favorable resolution of certain tax matters during the 2020 fiscal year and state tax refunds in the 2020 fiscal year. The effective income tax rate in the 2019 fiscal year of 23.0% was lower than the 24.2% estimated effective income tax rate primarily due to excess tax benefits recognized on stock-based compensation arrangements in the 2019 fiscal year.</w:t>
      </w:r>
    </w:p>
    <w:p>
      <w:pPr>
        <w:spacing w:after="0" w:line="16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Net income was $192,106,000, or $4.98 per diluted share, in fiscal year 2020. Net income attributable to the Company was $227,720,000, or $5.72 per diluted share, in fiscal year 2019. Net income during fiscal year 2020 was unfavorably impacted by $15,494,000, $0.31 per diluted share related to a one-time cost to buyout certain incentive commission arrangements with several agents, $12,593,000, or $0.25 per diluted share related to the impact of the COVID-19 pandemic relief incentive payments and $2,582,000, or $0.05 per diluted share of non-cash impairment charges related to certain assets, primarily customer contract and related customer relationship intangible assets of the Company’s Mexico subsidiaries.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Working capital and the ratio of current assets to current liabilities were $512,917,000 and 1.5 to 1, respectively, at December 25, 2021, compared with $402,038,000 and 1.5 to 1, respectively, at December 26, 2020, and $444,984,000 and 1.8 to 1, respectively, at December 28, 2019. Landstar has historically operated with current ratios within the range of 1.5 to 1 to 2.0 to 1. Cash provided by operating activities was $276,740,000, $210,717,000, and $307,840,000 in fiscal years 2021, 2020 and 2019, respectively. The increase in cash flow provided by operating activities for fiscal year 2021 was primarily attributable to increased net income, partially offset by the 58% increase in revenue year-over-year, which increased net receivables, defined as accounts receivable less accounts payable. The decrease in cash flow provided by operating activities for fiscal year 2020 was primarily attributable to the increase in trade and other accounts receivable as of the end of the 2020 fiscal year as compared to as of the end of the 2019 fiscal year driven by the significant growth in revenue during the fourth fiscal quarter of 2020.</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Company declared and paid $0.92 per share, or $35,191,000 in the aggregate, in cash dividends during fiscal year 2021 and, during such period, also paid $76,770,000 of dividends payable which were declared during fiscal year 2020 and included in current liabilities in the consolidated balance sheet at December 26, 2020. In addition, on December 7, 2021, the Company announced that its Board of Directors declared a special cash dividend of $2.00 per share, or $75,387,000 in the aggregate, payable on January 21, 2022 to stockholders of record of its Common Stock as of January 7, 2022. Dividends payable of $75,387,000 related to this special dividend were included in current liabilities in the consolidated balance sheet at December 25, 2021. The Company declared and paid $0.79 per share, or $30,557,000 in the aggregate, in cash dividends during fiscal year 2020 and, during such period, also paid $78,947,000 of dividends payable which were declared during fiscal year 2019 and included in current liabilities in the consolidated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balance sheet at December 28, 2019. The Company declared and paid $0.70 per share, or $27,891,000 in the aggregate, in cash dividends during fiscal year 2019. Since paying its first cash dividend in August 2005, the Company has paid approximately $616,000,000 in cash dividends in the aggregate to its stockholders, inclusive of the $2.00 per share special dividend paid on January 21, 2022</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During fiscal year 2021, the Company purchased 733,854 shares of its Common Stock at a total cost of $122,722,000. During fiscal year 2020, the Company purchased 1,178,970 shares of its Common Stock at a total cost of $115,962,000. During fiscal year 2019, the Company purchased 849,068 shares of its Common Stock at a total cost of $88,578,000. The Company has used cash provided by operating activities to fund the purchases. Since January 1997, the Company has purchased approximately $1,914,000,000 of its Common Stock under programs authorized by the Board of Directors of the Company in open market and private block transactions. As of December 25, 2021, the Company may purchase in the aggregate up to 3,000,000 shares of its Common Stock under its authorized stock purchase programs. Long-term debt, including current maturities, was $111,804,000 at December 25, 2021, compared to $100,774,000 at December 26, 2020 and $112,844,000 at December 28, 2019.</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Shareholders’ equity was $862,010,000, or 89% of total capitalization (defined as long-term debt including current maturities plus equity), at December 25, 2021, compared to $691,835,000, or 87% of total capitalization at December 26, 2020 and $721,469,000, or 86% of total capitalization, at December 28, 2019. The increase in shareholders’ equity was primarily the result of net income, partially offset by purchases of shares of the Company’s Common Stock and dividends declared by the Company in fiscal year 2021. The decrease in equity in fiscal year 2020 was primarily the result of purchases of shares of the Company’s Common Stock and dividends declared by the Company in fiscal year 2020, partially offset by net income.</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August 18, 2020, Landstar entered into an amended and restated credit agreement with a syndicate of banks and JPMorgan Chase Bank, N.A., as administrative agent (the “Credit Agreement”). The Credit Agreement, which matures on August 18, 2023, provides $250,000,000 of borrowing capacity in the form of a revolving credit facility, $35,000,000 of which may be utilized in the form of letters of credit. The Credit Agreement includes an “accordion” feature providing for a possible increase up to an aggregate borrowing capacity of $400,000,000.</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Credit Agreement contains a number of covenants that limit, among other things, the incurrence of additional indebtedness. The Company is required to, among other things, maintain a minimum Fixed Charge Coverage Ratio, as defined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8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At December 25, 2021, the Company had no borrowings outstanding and $33,170,000 of letters of credit outstanding under the Credit Agreement. At December 25, 2021, there was $216,830,000 available for future borrowings under the Credit Agreement. In addition, the Company has $72,267,000 in letters of credit outstanding as collateral for insurance claims that are secured by investments and restricted cash totaling $79,847,000 at December 25, 2021. Investments, all of which are carried at fair value, include primarily investment-grade bonds and asset-backed securities having maturities of up to five years. Fair value of investments is based primarily on quoted market prices. See “Notes to Consolidated Financial Statements” included herein for further discussion on measurement of fair value of investments.</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fiscal years 2021, 2020 and 2019, the Company acquired $48,674,000, $31,633,000 and $29,054,000, respectively, of trailing equipment by entering into finance leases. During fiscal years 2021, 2020 and 2019, the Company also purchased $23,261,000, $30,626,000 and $19,416,000, respectively, of</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operating property. Included in the $23,261,000 of purchases of operating property during the 2021 fiscal year was $500,000 for which the Company accrued a corresponding liability in accounts payable as of December 26, 2020. Landstar anticipates acquiring either by purchase or lease financing approximately $116,000,000 in new trailing equipment primarily to replace older trailing equipment in fiscal year 2022. Landstar anticipates spending approximately $23,000,000 on information technology hardware and software in fiscal year 2022, $17,000,000 of which relates to either building or buying software applications that enhance or add to the Company’s technology ecosystem. In addition, Landstar anticipates spending approximately $16,000,000 on buildings and improvements.</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previously disclosed on January 29, 2019, Landstar acquired all of the remaining equity interests in Landstar Metro held by its former minority equityholders. As of such date, Landstar Metro became a wholly owned subsidiary of the Company. Cash consideration paid in the 2019 fiscal year to purchase these remaining equity interests was $600,000. Further, on June 15, 2020, Landstar Blue completed the acquisition of an independent agent of the Company. Total cash consideration paid for the acquisition was approximately $2,934,000.</w:t>
      </w:r>
    </w:p>
    <w:p>
      <w:pPr>
        <w:spacing w:after="0" w:line="171"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Management believes that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programs and meet working capital needs.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During fiscal years 2021, 2020 and 2019, insurance and claims costs included $9,708,000, $9,196,000 and $16,679,000 of net unfavorable adjustments to prior years’ claims estimates, respectively. The unfavorable development of prior years’ claims in the 2021 fiscal year was primarily attributable to five claims. The unfavorable development of prior year’s claims in the 2020 and 2019 fiscal years was attributable in each year to several specific claims as well as to actuarially determined adjustments to prior year commercial trucking loss estimates. It is reasonably likely that the ultimate outcome of settling all outstanding claims will be more or less than the estimated claims liability at December 25, 2021.</w:t>
      </w:r>
    </w:p>
    <w:p>
      <w:pPr>
        <w:spacing w:after="0" w:line="16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Significant variances from management’s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is exposed to changes in interest rates as a result of its financing activities, primarily its borrowings on its revolving credit facility, if any, and investing activities with respect to investments held by the insurance segment.</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August 18, 2020, Landstar entered into an amended and restated credit agreement with a syndicate of banks and JPMorgan Chase Bank, N.A., as administrative agent (the “Credit Agreement”). The Credit Agreement, which matures on August 18, 2023, provides $250,000,000 of borrowing capacity in the form of a revolving credit facility, $35,000,000 of which may be utilized in the form of letters of credit. The Credit Agreement includes an “accordion” feature providing for a possible increase up to an aggregate borrowing capacity of $400,000,000.</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revolving credit loans under the Credit Agreement, at the option of Landstar, bear interest at (i) the Eurocurrency rate plus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in arrears, of 0.25% to 0.35%, based on the Company’s Leverage Ratio at the end of the most recent applicable fiscal quarter for which financial statements have been delivered. As of both December 25, 2021 and December 26, 2020 and during all of fiscal years 2021 and 2020, the Company had no borrowings outstanding under the Credit Agreement.</w:t>
      </w:r>
    </w:p>
    <w:p>
      <w:pPr>
        <w:spacing w:after="0" w:line="19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Long-term investments, all of which are available-for-sale and are carried at fair value, include primarily investment-grade bonds and asset-backed securities having maturities of up to five years. Assuming that the long-term portion of investments remains at $139,864,000, the balance at December 25, 2021, a hypothetical increase or decrease in interest rates of 100 basis points would not have a material impact on future earnings on an annualized basis. Short-term investments consist of short-term investment-grade instruments and the current maturities of investment-grade corporate bonds and asset-backed securities. Accordingly, any future interest rate risk on these short-term investments would not be material to the Company’s operating results.</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December 25, 2021 were collectively, as translated to U.S. dollars, approximately 3% of total consolidated assets. Accordingly, translation gains or losses of 40% or less related to the Canadian and Mexican operations would not be material.</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320" w:top="486"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 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 26,</w:t>
            </w:r>
          </w:p>
        </w:tc>
      </w:tr>
      <w:tr>
        <w:trPr>
          <w:trHeight w:val="171"/>
        </w:trPr>
        <w:tc>
          <w:tcPr>
            <w:tcW w:w="37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3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720" w:type="dxa"/>
            <w:vAlign w:val="bottom"/>
            <w:shd w:val="clear" w:color="auto" w:fill="CCEEFF"/>
          </w:tcPr>
          <w:p>
            <w:pPr>
              <w:jc w:val="center"/>
              <w:ind w:right="193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215,522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249,354</w:t>
            </w: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35,778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41,375</w:t>
            </w:r>
          </w:p>
        </w:tc>
      </w:tr>
      <w:tr>
        <w:trPr>
          <w:trHeight w:val="216"/>
        </w:trPr>
        <w:tc>
          <w:tcPr>
            <w:tcW w:w="3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88"/>
              </w:rPr>
              <w:t>Trade accounts receivable, less allowance of $</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shd w:val="clear" w:color="auto" w:fill="CCEEFF"/>
              </w:rPr>
              <w:t>7,074</w:t>
            </w:r>
          </w:p>
        </w:tc>
        <w:tc>
          <w:tcPr>
            <w:tcW w:w="47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and $8,670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1,154,314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764,169</w:t>
            </w: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rPr>
              <w:t>Other receivables, including advances to independent contractors, less allowance of $8,125 and $7,239</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134,757</w:t>
            </w:r>
          </w:p>
        </w:tc>
      </w:tr>
      <w:tr>
        <w:trPr>
          <w:trHeight w:val="216"/>
        </w:trPr>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18,520</w:t>
            </w:r>
          </w:p>
        </w:tc>
      </w:tr>
      <w:tr>
        <w:trPr>
          <w:trHeight w:val="230"/>
        </w:trPr>
        <w:tc>
          <w:tcPr>
            <w:tcW w:w="8820" w:type="dxa"/>
            <w:vAlign w:val="bottom"/>
            <w:gridSpan w:val="3"/>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1,522,900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1,208,175</w:t>
            </w:r>
          </w:p>
        </w:tc>
        <w:tc>
          <w:tcPr>
            <w:tcW w:w="120" w:type="dxa"/>
            <w:vAlign w:val="bottom"/>
          </w:tcPr>
          <w:p>
            <w:pPr>
              <w:spacing w:after="0"/>
              <w:rPr>
                <w:sz w:val="20"/>
                <w:szCs w:val="20"/>
                <w:color w:val="auto"/>
              </w:rPr>
            </w:pPr>
          </w:p>
        </w:tc>
      </w:tr>
      <w:tr>
        <w:trPr>
          <w:trHeight w:val="216"/>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property, less accumulated depreciation and amortization of $344,099 and $299,407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317,386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296,996</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40,768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40,949</w:t>
            </w:r>
          </w:p>
        </w:tc>
      </w:tr>
      <w:tr>
        <w:trPr>
          <w:trHeight w:val="216"/>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164,411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107,679</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2,045,465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1,653,799</w:t>
            </w:r>
          </w:p>
        </w:tc>
        <w:tc>
          <w:tcPr>
            <w:tcW w:w="1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gridSpan w:val="3"/>
            <w:shd w:val="clear" w:color="auto" w:fill="CCEEFF"/>
          </w:tcPr>
          <w:p>
            <w:pPr>
              <w:jc w:val="center"/>
              <w:ind w:left="199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overdraft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116,478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74,748</w:t>
            </w: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604,130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380,505</w:t>
            </w:r>
          </w:p>
        </w:tc>
      </w:tr>
      <w:tr>
        <w:trPr>
          <w:trHeight w:val="216"/>
        </w:trPr>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35,415</w:t>
            </w: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rPr>
              <w:t>Insurance claims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46,896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149,774</w:t>
            </w:r>
          </w:p>
        </w:tc>
      </w:tr>
      <w:tr>
        <w:trPr>
          <w:trHeight w:val="216"/>
        </w:trPr>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76,770</w:t>
            </w: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130,531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88,925</w:t>
            </w:r>
          </w:p>
        </w:tc>
      </w:tr>
      <w:tr>
        <w:trPr>
          <w:trHeight w:val="27"/>
        </w:trPr>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1,009,983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806,137</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Long-term debt, excluding current maturities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65,359</w:t>
            </w:r>
          </w:p>
        </w:tc>
        <w:tc>
          <w:tcPr>
            <w:tcW w:w="120" w:type="dxa"/>
            <w:vAlign w:val="bottom"/>
          </w:tcPr>
          <w:p>
            <w:pPr>
              <w:spacing w:after="0"/>
              <w:rPr>
                <w:sz w:val="19"/>
                <w:szCs w:val="19"/>
                <w:color w:val="auto"/>
              </w:rPr>
            </w:pPr>
          </w:p>
        </w:tc>
      </w:tr>
      <w:tr>
        <w:trPr>
          <w:trHeight w:val="216"/>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38,867</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Deferred income taxes and other noncurrent liabilities</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48,720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51,601</w:t>
            </w:r>
          </w:p>
        </w:tc>
      </w:tr>
      <w:tr>
        <w:trPr>
          <w:trHeight w:val="202"/>
        </w:trPr>
        <w:tc>
          <w:tcPr>
            <w:tcW w:w="3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w w:val="98"/>
              </w:rPr>
              <w:t>Common stock, $0.01 par value, authorized 160,000,000 shares, issued 68,232,975 and 68,183,702 shares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r>
      <w:tr>
        <w:trPr>
          <w:trHeight w:val="216"/>
        </w:trPr>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255,148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228,875</w:t>
            </w: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2,317,184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2,046,238</w:t>
            </w:r>
          </w:p>
        </w:tc>
      </w:tr>
      <w:tr>
        <w:trPr>
          <w:trHeight w:val="216"/>
        </w:trPr>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Cost of 30,539,235 and 29,797,639 shares of common stock in treasury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(1,705,601)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(1,581,961)</w:t>
            </w:r>
          </w:p>
        </w:tc>
      </w:tr>
      <w:tr>
        <w:trPr>
          <w:trHeight w:val="216"/>
        </w:trPr>
        <w:tc>
          <w:tcPr>
            <w:tcW w:w="882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(1,999)</w:t>
            </w:r>
          </w:p>
        </w:tc>
      </w:tr>
      <w:tr>
        <w:trPr>
          <w:trHeight w:val="27"/>
        </w:trPr>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691,835</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2,045,465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1,653,799</w:t>
            </w:r>
          </w:p>
        </w:tc>
        <w:tc>
          <w:tcPr>
            <w:tcW w:w="1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LANDSTAR SYSTEM, INC. AND SUBSIDIARY</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25,</w:t>
            </w:r>
          </w:p>
        </w:tc>
        <w:tc>
          <w:tcPr>
            <w:tcW w:w="240" w:type="dxa"/>
            <w:vAlign w:val="bottom"/>
          </w:tcPr>
          <w:p>
            <w:pPr>
              <w:spacing w:after="0"/>
              <w:rPr>
                <w:sz w:val="10"/>
                <w:szCs w:val="10"/>
                <w:color w:val="auto"/>
              </w:rPr>
            </w:pPr>
          </w:p>
        </w:tc>
        <w:tc>
          <w:tcPr>
            <w:tcW w:w="11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26,</w:t>
            </w:r>
          </w:p>
        </w:tc>
        <w:tc>
          <w:tcPr>
            <w:tcW w:w="6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6,537,568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4,132,981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4,084,577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Purchased transportation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5,114,667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3,192,850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3,127,474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Commissions to agents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507,209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342,226</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Other operating costs, net of gains on asset sales/dispositions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36,531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30,463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37,274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and claims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80,319</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221,278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167,633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158,953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44,468</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Impairment of intangible and 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Commission program termination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6,034,757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3,883,430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3,790,714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505,668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298,904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248,997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295,763</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120,168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56,891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68,060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227,703</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Landstar System, Inc. and subsidiary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381,524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227,720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Diluted earnings per share attributable to Landstar System, Inc. and subsidiary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38,235,000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38,602,000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39,786,000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Dividends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26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Fiscal Years Ended</w:t>
            </w:r>
          </w:p>
        </w:tc>
      </w:tr>
      <w:tr>
        <w:trPr>
          <w:trHeight w:val="119"/>
        </w:trPr>
        <w:tc>
          <w:tcPr>
            <w:tcW w:w="834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Dec. 25,</w:t>
            </w:r>
          </w:p>
        </w:tc>
        <w:tc>
          <w:tcPr>
            <w:tcW w:w="94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Dec. 26,</w:t>
            </w:r>
          </w:p>
        </w:tc>
        <w:tc>
          <w:tcPr>
            <w:tcW w:w="74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rPr>
              <w:t>Dec. 28,</w:t>
            </w:r>
          </w:p>
        </w:tc>
        <w:tc>
          <w:tcPr>
            <w:tcW w:w="60" w:type="dxa"/>
            <w:vAlign w:val="bottom"/>
          </w:tcPr>
          <w:p>
            <w:pPr>
              <w:spacing w:after="0"/>
              <w:rPr>
                <w:sz w:val="10"/>
                <w:szCs w:val="10"/>
                <w:color w:val="auto"/>
              </w:rPr>
            </w:pPr>
          </w:p>
        </w:tc>
      </w:tr>
      <w:tr>
        <w:trPr>
          <w:trHeight w:val="171"/>
        </w:trPr>
        <w:tc>
          <w:tcPr>
            <w:tcW w:w="8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Landstar System, Inc. and subsidiary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$ 381,524</w:t>
            </w:r>
          </w:p>
        </w:tc>
        <w:tc>
          <w:tcPr>
            <w:tcW w:w="2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$ 192,106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$ 227,720</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8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Unrealized holding (losses) gains on available-for-sale investments, net of tax (benefit) expense of ($739),</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$463, $561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(2,695)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Foreign currency translation (losses) gains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(709)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(1,475)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1,613</w:t>
            </w:r>
          </w:p>
        </w:tc>
      </w:tr>
      <w:tr>
        <w:trPr>
          <w:trHeight w:val="27"/>
        </w:trPr>
        <w:tc>
          <w:tcPr>
            <w:tcW w:w="8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(3,404)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3,663</w:t>
            </w: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Comprehensive income attributable to Landstar System, Inc. and subsidiary</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$ 378,120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$ 192,319</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$ 231,383</w:t>
            </w:r>
          </w:p>
        </w:tc>
        <w:tc>
          <w:tcPr>
            <w:tcW w:w="6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bottom w:val="single" w:sz="8" w:color="auto"/>
            </w:tcBorders>
            <w:gridSpan w:val="5"/>
          </w:tcPr>
          <w:p>
            <w:pPr>
              <w:jc w:val="center"/>
              <w:ind w:left="633"/>
              <w:spacing w:after="0"/>
              <w:rPr>
                <w:sz w:val="20"/>
                <w:szCs w:val="20"/>
                <w:color w:val="auto"/>
              </w:rPr>
            </w:pPr>
            <w:r>
              <w:rPr>
                <w:rFonts w:ascii="Arial" w:cs="Arial" w:eastAsia="Arial" w:hAnsi="Arial"/>
                <w:sz w:val="14"/>
                <w:szCs w:val="14"/>
                <w:b w:val="1"/>
                <w:bCs w:val="1"/>
                <w:color w:val="auto"/>
                <w:w w:val="91"/>
              </w:rPr>
              <w:t>Fiscal Years Ended</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Dec. 25,</w:t>
            </w:r>
          </w:p>
        </w:tc>
        <w:tc>
          <w:tcPr>
            <w:tcW w:w="960" w:type="dxa"/>
            <w:vAlign w:val="bottom"/>
            <w:gridSpan w:val="2"/>
          </w:tcPr>
          <w:p>
            <w:pPr>
              <w:jc w:val="center"/>
              <w:ind w:right="121"/>
              <w:spacing w:after="0" w:line="119" w:lineRule="exact"/>
              <w:rPr>
                <w:sz w:val="20"/>
                <w:szCs w:val="20"/>
                <w:color w:val="auto"/>
              </w:rPr>
            </w:pPr>
            <w:r>
              <w:rPr>
                <w:rFonts w:ascii="Arial" w:cs="Arial" w:eastAsia="Arial" w:hAnsi="Arial"/>
                <w:sz w:val="13"/>
                <w:szCs w:val="13"/>
                <w:b w:val="1"/>
                <w:bCs w:val="1"/>
                <w:color w:val="auto"/>
                <w:w w:val="97"/>
              </w:rPr>
              <w:t>Dec. 26,</w:t>
            </w:r>
          </w:p>
        </w:tc>
        <w:tc>
          <w:tcPr>
            <w:tcW w:w="74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rPr>
              <w:t>Dec. 28,</w:t>
            </w:r>
          </w:p>
        </w:tc>
        <w:tc>
          <w:tcPr>
            <w:tcW w:w="120" w:type="dxa"/>
            <w:vAlign w:val="bottom"/>
          </w:tcPr>
          <w:p>
            <w:pPr>
              <w:spacing w:after="0"/>
              <w:rPr>
                <w:sz w:val="10"/>
                <w:szCs w:val="10"/>
                <w:color w:val="auto"/>
              </w:rPr>
            </w:pPr>
          </w:p>
        </w:tc>
      </w:tr>
      <w:tr>
        <w:trPr>
          <w:trHeight w:val="178"/>
        </w:trPr>
        <w:tc>
          <w:tcPr>
            <w:tcW w:w="8240" w:type="dxa"/>
            <w:vAlign w:val="bottom"/>
          </w:tcPr>
          <w:p>
            <w:pPr>
              <w:spacing w:after="0"/>
              <w:rPr>
                <w:sz w:val="15"/>
                <w:szCs w:val="15"/>
                <w:color w:val="auto"/>
              </w:rPr>
            </w:pPr>
          </w:p>
        </w:tc>
        <w:tc>
          <w:tcPr>
            <w:tcW w:w="74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5"/>
                <w:szCs w:val="15"/>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89"/>
              </w:rPr>
              <w:t>$ 381,524</w:t>
            </w:r>
          </w:p>
        </w:tc>
        <w:tc>
          <w:tcPr>
            <w:tcW w:w="2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$ 192,106</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w w:val="89"/>
              </w:rPr>
              <w:t>$ 227,703</w:t>
            </w: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 and amortization of operating property and intangible assets</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49,609</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45,855</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44,468</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charges</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334</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253</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Provisions for losses on trade and other accounts receivable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5,722</w:t>
            </w:r>
          </w:p>
        </w:tc>
        <w:tc>
          <w:tcPr>
            <w:tcW w:w="2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9,415</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9,831</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Gains on sales/disposals of operating property</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(1,830)</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Impairment of intangible and other assets</w:t>
            </w:r>
          </w:p>
        </w:tc>
        <w:tc>
          <w:tcPr>
            <w:tcW w:w="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2,582</w:t>
            </w: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(3,790)</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1,130</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4,767</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27,537</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4,639</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4,236</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40" w:type="dxa"/>
            <w:vAlign w:val="bottom"/>
          </w:tcPr>
          <w:p>
            <w:pPr>
              <w:ind w:left="1080"/>
              <w:spacing w:after="0"/>
              <w:rPr>
                <w:sz w:val="20"/>
                <w:szCs w:val="20"/>
                <w:color w:val="auto"/>
              </w:rPr>
            </w:pPr>
            <w:r>
              <w:rPr>
                <w:rFonts w:ascii="Arial" w:cs="Arial" w:eastAsia="Arial" w:hAnsi="Arial"/>
                <w:sz w:val="18"/>
                <w:szCs w:val="18"/>
                <w:color w:val="auto"/>
              </w:rPr>
              <w:t>(Increase) decrease in trade and other accounts receivable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(362,234)</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(285,169)</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81,415</w:t>
            </w:r>
          </w:p>
        </w:tc>
      </w:tr>
      <w:tr>
        <w:trPr>
          <w:trHeight w:val="216"/>
        </w:trPr>
        <w:tc>
          <w:tcPr>
            <w:tcW w:w="8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Decrease (increase) in other assets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(11,395)</w:t>
            </w:r>
          </w:p>
        </w:tc>
      </w:tr>
      <w:tr>
        <w:trPr>
          <w:trHeight w:val="216"/>
        </w:trPr>
        <w:tc>
          <w:tcPr>
            <w:tcW w:w="8240" w:type="dxa"/>
            <w:vAlign w:val="bottom"/>
          </w:tcPr>
          <w:p>
            <w:pPr>
              <w:ind w:left="1080"/>
              <w:spacing w:after="0"/>
              <w:rPr>
                <w:sz w:val="20"/>
                <w:szCs w:val="20"/>
                <w:color w:val="auto"/>
              </w:rPr>
            </w:pPr>
            <w:r>
              <w:rPr>
                <w:rFonts w:ascii="Arial" w:cs="Arial" w:eastAsia="Arial" w:hAnsi="Arial"/>
                <w:sz w:val="18"/>
                <w:szCs w:val="18"/>
                <w:color w:val="auto"/>
              </w:rPr>
              <w:t>Increase (decrease) in accounts payable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224,125</w:t>
            </w:r>
          </w:p>
        </w:tc>
        <w:tc>
          <w:tcPr>
            <w:tcW w:w="2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108,090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(42,138)</w:t>
            </w:r>
          </w:p>
        </w:tc>
      </w:tr>
      <w:tr>
        <w:trPr>
          <w:trHeight w:val="216"/>
        </w:trPr>
        <w:tc>
          <w:tcPr>
            <w:tcW w:w="8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Increase (decrease) in other liabilities</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43,422</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28,496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(17,786)</w:t>
            </w:r>
          </w:p>
        </w:tc>
      </w:tr>
      <w:tr>
        <w:trPr>
          <w:trHeight w:val="216"/>
        </w:trPr>
        <w:tc>
          <w:tcPr>
            <w:tcW w:w="8240" w:type="dxa"/>
            <w:vAlign w:val="bottom"/>
          </w:tcPr>
          <w:p>
            <w:pPr>
              <w:ind w:left="1080"/>
              <w:spacing w:after="0"/>
              <w:rPr>
                <w:sz w:val="20"/>
                <w:szCs w:val="20"/>
                <w:color w:val="auto"/>
              </w:rPr>
            </w:pPr>
            <w:r>
              <w:rPr>
                <w:rFonts w:ascii="Arial" w:cs="Arial" w:eastAsia="Arial" w:hAnsi="Arial"/>
                <w:sz w:val="18"/>
                <w:szCs w:val="18"/>
                <w:color w:val="auto"/>
              </w:rPr>
              <w:t>(Decrease) increase in insurance claims</w:t>
            </w:r>
          </w:p>
        </w:tc>
        <w:tc>
          <w:tcPr>
            <w:tcW w:w="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(92,236)</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110,534</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7,502</w:t>
            </w: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210,717</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307,840</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change in other short-term investments</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Sales and maturities of investments</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31,938</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22,632</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62,922</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investments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(84,992)</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(25,550)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(65,922)</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Purchases of operating property</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(23,261)</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(30,626)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(19,416)</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sales of operating property</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7,760</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3,991</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Consideration paid for acquisition</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(2,766)</w:t>
            </w: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(73,344)</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(28,419)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(18,556)</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cash overdraft</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41,730</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20,870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(111,961)</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(109,504)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(27,891)</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for debt issue costs</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(1,132)</w:t>
            </w: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Proceeds from exercises of stock options</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160</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725</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1,056</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Taxes paid in lieu of shares issued related to stock-based compensation plans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(2,342)</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(8,456)</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Purchases of common stock</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(122,722)</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(115,962)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(88,578)</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Principal payments on finance lease obligations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(37,644)</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(43,703)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(44,635)</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Purchase of noncontrolling interest</w:t>
            </w:r>
          </w:p>
        </w:tc>
        <w:tc>
          <w:tcPr>
            <w:tcW w:w="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deferred consideration</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9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NET CASH USED BY FINANCING ACTIVITIES</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(232,947</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(252,032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(427)</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1,060</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119,779</w:t>
            </w: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249,354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319,515</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199,736</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$ 219,571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$ 249,354</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$ 319,515</w:t>
            </w:r>
          </w:p>
        </w:tc>
        <w:tc>
          <w:tcPr>
            <w:tcW w:w="12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Years Ended December 25,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26, 2020 and December 28,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10"/>
          </w:tcPr>
          <w:p>
            <w:pPr>
              <w:jc w:val="right"/>
              <w:ind w:right="621"/>
              <w:spacing w:after="0"/>
              <w:rPr>
                <w:sz w:val="20"/>
                <w:szCs w:val="20"/>
                <w:color w:val="auto"/>
              </w:rPr>
            </w:pPr>
            <w:r>
              <w:rPr>
                <w:rFonts w:ascii="Arial" w:cs="Arial" w:eastAsia="Arial" w:hAnsi="Arial"/>
                <w:sz w:val="14"/>
                <w:szCs w:val="14"/>
                <w:b w:val="1"/>
                <w:bCs w:val="1"/>
                <w:color w:val="auto"/>
                <w:w w:val="92"/>
              </w:rPr>
              <w:t>Landstar System, Inc. and Subsidiary Shareholders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12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4"/>
            <w:vMerge w:val="restart"/>
          </w:tcPr>
          <w:p>
            <w:pPr>
              <w:jc w:val="right"/>
              <w:ind w:right="159"/>
              <w:spacing w:after="0"/>
              <w:rPr>
                <w:sz w:val="20"/>
                <w:szCs w:val="20"/>
                <w:color w:val="auto"/>
              </w:rPr>
            </w:pPr>
            <w:r>
              <w:rPr>
                <w:rFonts w:ascii="Arial" w:cs="Arial" w:eastAsia="Arial" w:hAnsi="Arial"/>
                <w:sz w:val="14"/>
                <w:szCs w:val="14"/>
                <w:b w:val="1"/>
                <w:bCs w:val="1"/>
                <w:color w:val="auto"/>
              </w:rPr>
              <w:t>Treasury Stock at Cost</w:t>
            </w:r>
          </w:p>
        </w:tc>
        <w:tc>
          <w:tcPr>
            <w:tcW w:w="1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0"/>
                <w:szCs w:val="10"/>
                <w:color w:val="auto"/>
              </w:rPr>
            </w:pPr>
          </w:p>
        </w:tc>
        <w:tc>
          <w:tcPr>
            <w:tcW w:w="10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controlling</w:t>
            </w:r>
          </w:p>
        </w:tc>
        <w:tc>
          <w:tcPr>
            <w:tcW w:w="60" w:type="dxa"/>
            <w:vAlign w:val="bottom"/>
          </w:tcPr>
          <w:p>
            <w:pPr>
              <w:spacing w:after="0"/>
              <w:rPr>
                <w:sz w:val="10"/>
                <w:szCs w:val="10"/>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(Loss) Income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67,870,962</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679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$226,852</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$1,841,279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27,755,001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(1,376,111)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$ 689,133</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227,720</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227,703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Dividends ($2.70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(106,838)</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(106,838)</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w w:val="94"/>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849,068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(88,578)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(88,578)</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Purchase noncontrolling</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2"/>
        </w:trPr>
        <w:tc>
          <w:tcPr>
            <w:tcW w:w="2520" w:type="dxa"/>
            <w:vAlign w:val="bottom"/>
          </w:tcPr>
          <w:p>
            <w:pPr>
              <w:ind w:left="360"/>
              <w:spacing w:after="0" w:line="201" w:lineRule="exact"/>
              <w:rPr>
                <w:sz w:val="20"/>
                <w:szCs w:val="20"/>
                <w:color w:val="auto"/>
              </w:rPr>
            </w:pPr>
            <w:r>
              <w:rPr>
                <w:rFonts w:ascii="Arial" w:cs="Arial" w:eastAsia="Arial" w:hAnsi="Arial"/>
                <w:sz w:val="18"/>
                <w:szCs w:val="18"/>
                <w:color w:val="auto"/>
                <w:w w:val="97"/>
              </w:rPr>
              <w:t>Issuance of stock related to</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540"/>
              <w:spacing w:after="0"/>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compensation plans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212,457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(6,807)</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5,857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Stock-based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4,236</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02"/>
        </w:trPr>
        <w:tc>
          <w:tcPr>
            <w:tcW w:w="2520" w:type="dxa"/>
            <w:vAlign w:val="bottom"/>
          </w:tcPr>
          <w:p>
            <w:pPr>
              <w:ind w:left="360"/>
              <w:spacing w:after="0" w:line="201" w:lineRule="exact"/>
              <w:rPr>
                <w:sz w:val="20"/>
                <w:szCs w:val="20"/>
                <w:color w:val="auto"/>
              </w:rPr>
            </w:pPr>
            <w:r>
              <w:rPr>
                <w:rFonts w:ascii="Arial" w:cs="Arial" w:eastAsia="Arial" w:hAnsi="Arial"/>
                <w:sz w:val="18"/>
                <w:szCs w:val="18"/>
                <w:color w:val="auto"/>
              </w:rPr>
              <w:t>Other comprehensive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income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3,663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150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28,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68,083,419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$226,123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$1,962,161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28,609,926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$(1,465,284)</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$ 721,469</w:t>
            </w:r>
          </w:p>
        </w:tc>
        <w:tc>
          <w:tcPr>
            <w:tcW w:w="0" w:type="dxa"/>
            <w:vAlign w:val="bottom"/>
          </w:tcPr>
          <w:p>
            <w:pPr>
              <w:spacing w:after="0"/>
              <w:rPr>
                <w:sz w:val="1"/>
                <w:szCs w:val="1"/>
                <w:color w:val="auto"/>
              </w:rPr>
            </w:pPr>
          </w:p>
        </w:tc>
      </w:tr>
      <w:tr>
        <w:trPr>
          <w:trHeight w:val="202"/>
        </w:trPr>
        <w:tc>
          <w:tcPr>
            <w:tcW w:w="2520" w:type="dxa"/>
            <w:vAlign w:val="bottom"/>
          </w:tcPr>
          <w:p>
            <w:pPr>
              <w:ind w:left="360"/>
              <w:spacing w:after="0" w:line="201" w:lineRule="exact"/>
              <w:rPr>
                <w:sz w:val="20"/>
                <w:szCs w:val="20"/>
                <w:color w:val="auto"/>
              </w:rPr>
            </w:pPr>
            <w:r>
              <w:rPr>
                <w:rFonts w:ascii="Arial" w:cs="Arial" w:eastAsia="Arial" w:hAnsi="Arial"/>
                <w:sz w:val="18"/>
                <w:szCs w:val="18"/>
                <w:color w:val="auto"/>
              </w:rPr>
              <w:t>Adoption of accounting</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standards (Note 16)</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(702)</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192,106</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192,106</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w w:val="96"/>
              </w:rPr>
              <w:t>Dividends ($2.79 per share)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(107,327)</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(107,327)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Purchases of common stock</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1,178,970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(115,962)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(115,962)</w:t>
            </w:r>
          </w:p>
        </w:tc>
        <w:tc>
          <w:tcPr>
            <w:tcW w:w="0" w:type="dxa"/>
            <w:vAlign w:val="bottom"/>
          </w:tcPr>
          <w:p>
            <w:pPr>
              <w:spacing w:after="0"/>
              <w:rPr>
                <w:sz w:val="1"/>
                <w:szCs w:val="1"/>
                <w:color w:val="auto"/>
              </w:rPr>
            </w:pPr>
          </w:p>
        </w:tc>
      </w:tr>
      <w:tr>
        <w:trPr>
          <w:trHeight w:val="202"/>
        </w:trPr>
        <w:tc>
          <w:tcPr>
            <w:tcW w:w="2520" w:type="dxa"/>
            <w:vAlign w:val="bottom"/>
          </w:tcPr>
          <w:p>
            <w:pPr>
              <w:ind w:left="360"/>
              <w:spacing w:after="0" w:line="201" w:lineRule="exact"/>
              <w:rPr>
                <w:sz w:val="20"/>
                <w:szCs w:val="20"/>
                <w:color w:val="auto"/>
              </w:rPr>
            </w:pPr>
            <w:r>
              <w:rPr>
                <w:rFonts w:ascii="Arial" w:cs="Arial" w:eastAsia="Arial" w:hAnsi="Arial"/>
                <w:sz w:val="18"/>
                <w:szCs w:val="18"/>
                <w:color w:val="auto"/>
                <w:w w:val="97"/>
              </w:rPr>
              <w:t>Issuance of stock related to</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540"/>
              <w:spacing w:after="0"/>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compensation plans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100,283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8,743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(715)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Stock-based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02"/>
        </w:trPr>
        <w:tc>
          <w:tcPr>
            <w:tcW w:w="2520" w:type="dxa"/>
            <w:vAlign w:val="bottom"/>
          </w:tcPr>
          <w:p>
            <w:pPr>
              <w:ind w:left="360"/>
              <w:spacing w:after="0" w:line="201" w:lineRule="exact"/>
              <w:rPr>
                <w:sz w:val="20"/>
                <w:szCs w:val="20"/>
                <w:color w:val="auto"/>
              </w:rPr>
            </w:pPr>
            <w:r>
              <w:rPr>
                <w:rFonts w:ascii="Arial" w:cs="Arial" w:eastAsia="Arial" w:hAnsi="Arial"/>
                <w:sz w:val="18"/>
                <w:szCs w:val="18"/>
                <w:color w:val="auto"/>
              </w:rPr>
              <w:t>Other comprehensive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income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68,183,702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$228,875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$2,046,238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29,797,639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$(1,581,961)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$ 691,835</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381,524</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381,524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Dividends ($2.92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(110,578)</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(110,578)</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w w:val="94"/>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733,854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(122,722)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(122,722)</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Issuance of stock related to</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compensation plans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49,273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w w:val="98"/>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27,537</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color w:val="auto"/>
              </w:rPr>
              <w:t>Balance December 25,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68,232,975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255,148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2,317,184</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30,539,235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(1,705,601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$ 862,010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LANDSTAR SYSTEM, INC. AND SUBSIDIARY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60" w:right="8360" w:hanging="444"/>
        <w:spacing w:after="0" w:line="378" w:lineRule="auto"/>
        <w:tabs>
          <w:tab w:leader="none" w:pos="37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Consolidation</w:t>
      </w:r>
    </w:p>
    <w:p>
      <w:pPr>
        <w:jc w:val="both"/>
        <w:ind w:left="120" w:firstLine="440"/>
        <w:spacing w:after="0" w:line="263" w:lineRule="auto"/>
        <w:rPr>
          <w:sz w:val="20"/>
          <w:szCs w:val="20"/>
          <w:color w:val="auto"/>
        </w:rPr>
      </w:pPr>
      <w:r>
        <w:rPr>
          <w:rFonts w:ascii="Arial" w:cs="Arial" w:eastAsia="Arial" w:hAnsi="Arial"/>
          <w:sz w:val="18"/>
          <w:szCs w:val="18"/>
          <w:color w:val="auto"/>
        </w:rPr>
        <w:t>The consolidated financial statements include the accounts of Landstar System, Inc. and its subsidiary, Landstar System Holdings, Inc. (“LSHI”). Landstar System, Inc. and its subsidiary are herein referred to as “Landstar” or the “Company.” Significant intercompany accounts have been eliminated in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preparation of the consolidated financial statements requires the use of management’s estimates. Actual results could differ from those estimates.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Landstar’s fiscal year is the 52 or 53 week period ending the last Saturday in December.</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nature of the Company’s freight transportation services and its performance obligations to customers, regardless of the mode of transportation used to perform such services, relate to the safe and on-time pick-up and delivery of a customer’s freight on a shipment-by-shipment basis. Landstar customers are typically invoiced on a shipment-by-shipment basis at a pre-defined rate, payable thirty to sixty (30-60) days after the customer’s receipt of such invoice. Payment terms to customers do not contain a significant financing component and the amount owed by the customer does not contain variable terms, embedded or otherwise. We have determined that revenue recognition over the freight transit period provides a faithful depiction of the transfer of services to the customer as our obligation for which we are primarily responsible for fulfilling is performed over the transit period. Accordingly, transportation revenue billed to a customer for the physical transportation of freight and related direct freight expenses are recognized on a gross basis over the freight transit period as the performance obligation to the customer is satisfied. The Company determines the transit period for a given shipment based upon the pick-up date and the delivery date, which may be estimated if delivery has not occurred as of the reporting date. Determining the transit period and how much of it has been completed as of a given reporting date may therefore require management to make judgments that affect the timing of revenue recognized. With respect to shipments with a pick-up date in one reporting period and a delivery date in another, the Company recognizes such transportation revenue based on relative transit time in each reporting period. A days in transit output method is used to measure the progress of the performance of the Company’s freight transportation services as of the reporting date and a portion of the total revenue that will be billed to the customer once a load is delivered is recognized in each reporting period based on the percentage of total transit time that has been completed at the end of the applicable reporting period. Reinsurance premiums of the insurance segment are recognized over the period earned, which is usually on a monthly basis. Fuel surcharges billed to customers for freight hauled by independent contractors who provide truck capacity to the Company under exclusive lease arrangements (the “BCO Independent Contractors”) are excluded from revenue and paid in entirety to the BCO Independent Contractors.</w:t>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86"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from Contracts with Customers – Disaggregation of Revenue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table summarizes (i) the percentage of consolidated revenue generated by mode of transportation and (ii) the total amount of truck transportation revenue hauled by BCO Independent Contractors and Truck Brokerage Carriers generated by equipment type during the fiscal years ended December 25, 2021, December 26, 2020 and December 28, 2019 (dollars in thousands):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25,</w:t>
            </w:r>
          </w:p>
        </w:tc>
        <w:tc>
          <w:tcPr>
            <w:tcW w:w="1440" w:type="dxa"/>
            <w:vAlign w:val="bottom"/>
            <w:gridSpan w:val="4"/>
          </w:tcPr>
          <w:p>
            <w:pPr>
              <w:ind w:left="260"/>
              <w:spacing w:after="0" w:line="119" w:lineRule="exact"/>
              <w:rPr>
                <w:sz w:val="20"/>
                <w:szCs w:val="20"/>
                <w:color w:val="auto"/>
              </w:rPr>
            </w:pPr>
            <w:r>
              <w:rPr>
                <w:rFonts w:ascii="Arial" w:cs="Arial" w:eastAsia="Arial" w:hAnsi="Arial"/>
                <w:sz w:val="13"/>
                <w:szCs w:val="13"/>
                <w:b w:val="1"/>
                <w:bCs w:val="1"/>
                <w:color w:val="auto"/>
              </w:rPr>
              <w:t>December 26,</w:t>
            </w:r>
          </w:p>
        </w:tc>
        <w:tc>
          <w:tcPr>
            <w:tcW w:w="104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w w:val="99"/>
              </w:rPr>
              <w:t>December 28,</w:t>
            </w:r>
          </w:p>
        </w:tc>
        <w:tc>
          <w:tcPr>
            <w:tcW w:w="200" w:type="dxa"/>
            <w:vAlign w:val="bottom"/>
          </w:tcPr>
          <w:p>
            <w:pPr>
              <w:spacing w:after="0"/>
              <w:rPr>
                <w:sz w:val="10"/>
                <w:szCs w:val="10"/>
                <w:color w:val="auto"/>
              </w:rPr>
            </w:pPr>
          </w:p>
        </w:tc>
      </w:tr>
      <w:tr>
        <w:trPr>
          <w:trHeight w:val="178"/>
        </w:trPr>
        <w:tc>
          <w:tcPr>
            <w:tcW w:w="340" w:type="dxa"/>
            <w:vAlign w:val="bottom"/>
            <w:tcBorders>
              <w:bottom w:val="single" w:sz="8" w:color="auto"/>
            </w:tcBorders>
            <w:gridSpan w:val="2"/>
          </w:tcPr>
          <w:p>
            <w:pPr>
              <w:spacing w:after="0" w:line="158" w:lineRule="exact"/>
              <w:rPr>
                <w:sz w:val="20"/>
                <w:szCs w:val="20"/>
                <w:color w:val="auto"/>
              </w:rPr>
            </w:pPr>
            <w:r>
              <w:rPr>
                <w:rFonts w:ascii="Arial" w:cs="Arial" w:eastAsia="Arial" w:hAnsi="Arial"/>
                <w:sz w:val="14"/>
                <w:szCs w:val="14"/>
                <w:color w:val="auto"/>
                <w:w w:val="91"/>
              </w:rPr>
              <w:t>Mode</w:t>
            </w:r>
          </w:p>
        </w:tc>
        <w:tc>
          <w:tcPr>
            <w:tcW w:w="3800" w:type="dxa"/>
            <w:vAlign w:val="bottom"/>
            <w:gridSpan w:val="2"/>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line="158"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line="158"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line="158"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Truck – BCO Independent Contractors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Truck – Truck Brokerage Carriers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Rail intermodal</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Ocean and air cargo carriers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Truck Equipment Type</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Van equipment</w:t>
            </w:r>
          </w:p>
        </w:tc>
        <w:tc>
          <w:tcPr>
            <w:tcW w:w="24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gridSpan w:val="2"/>
          </w:tcPr>
          <w:p>
            <w:pPr>
              <w:ind w:left="13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3,525,830</w:t>
            </w: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2,192,254</w:t>
            </w: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2,095,345</w:t>
            </w:r>
          </w:p>
        </w:tc>
        <w:tc>
          <w:tcPr>
            <w:tcW w:w="2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Unsided/platform equipment</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1,549,037</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1,119,272</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1,254,781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Less-than-truckload</w:t>
            </w:r>
          </w:p>
        </w:tc>
        <w:tc>
          <w:tcPr>
            <w:tcW w:w="1440" w:type="dxa"/>
            <w:vAlign w:val="bottom"/>
            <w:gridSpan w:val="2"/>
          </w:tcPr>
          <w:p>
            <w:pPr>
              <w:ind w:left="13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117,505</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97,546</w:t>
            </w:r>
          </w:p>
        </w:tc>
        <w:tc>
          <w:tcPr>
            <w:tcW w:w="3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98,324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truck transportation (1)</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770,846</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406,709</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316,879</w:t>
            </w:r>
          </w:p>
        </w:tc>
        <w:tc>
          <w:tcPr>
            <w:tcW w:w="2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540" w:right="60" w:hanging="424"/>
        <w:spacing w:after="0" w:line="26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29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Insurance Claim Costs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Landstar provides, primarily on an actuarially determined basis, for the estimated costs of cargo, property, casualty, general liability and workers’ compensation claims both reported and for claims incurred but not reported.</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periods prior to May 1, 2019, Landstar retains liability for commercial trucking claims up to $5 million per occurrence and maintains various third party insurance arrangements for liabilities in excess of its $5 million self-insured retention. Effective May 1, 2019, the Company entered into a new three year commercial auto liability insurance arrangement for losses incurred between $5 million and $10 million (the “Initial Excess Policy”) with a third party insurance company. For commercial trucking claims incurred on or after May 1, 2019 through April 30, 2022, the Initial Excess Policy provides for a limit for a single loss of $5 million, with an aggregate limit of $15 million for each policy year, an aggregate limit of $20 million for the thirty-six month term ended April 30, 2022, and options to increase such aggregate limits for pre-established amounts of additional premium. If aggregate losses under the Initial Excess Policy exceed either the annual aggregate limit or the aggregate limit for the three year period ending April 30, 2022, and the Company did not elect to increase such aggregate limits for a pre-established amount of additional premium, Landstar would retain liability of up to $10 million per occurrence, inclusive of its $5 million self-insured retention for commercial trucking claims during the remainder of the applicable policy year(s). Moreover, as a result of the Company’s aggregate loss experience since it entered into the Initial Excess Policy, the Initial Excess Policy required the Company to pay additional premium relating to its existing coverage up to a pre-established maximum amount of $3.5 million, which was provided for in insurance and claims costs for the Company’s 2020 fiscal first quarter.</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also maintains third party insurance arrangements providing excess coverage for commercial trucking liabilities in excess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These third party arrangements provide coverage on a per occurrence or aggregated basis. In recent years, the Company has increased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of its financial exposure to commercial trucking claims in excess of $10 million, including through the use of additional self-insurance,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deductibles, aggregate loss limits, quota shares and other arrangements with third party insurance companies, based on the availability of coverage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within certain excess insurance coverage layers and estimated cost differentials between proposed premiums from third party insurance companies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historical and actuarially projected losses experienced by the Company at various levels of excess insurance coverage.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third party insurance arrangements providing excess coverage for commercial trucking liabilities in excess of Landstar’s self-insured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retention generally require that the Company fund settlement payments to claimants and seek reimbursement from the Company’s third party insurance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providers, as applicable. In connection with settlements of claims in excess of the Company’s $5 million self-insured retention, the Company accrues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anticipated settlement payments and records a corresponding receivable for amounts the Company expects to collect from its third party insurance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providers following the payment of such settlement amounts. On the Company’s consolidated balance sheet as of December 26, 2020, the Company had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aggregate accrual of current liabilities in insurance claims for anticipated payments of settlement amounts above our self-insured retention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$104,000,000, and a corresponding amount of current assets included in other receivables. Those insurance claims in excess of the Company’s self-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insured retention were paid, and full collection from the Company’s excess insurers occurred, during the Company’s 2021 first fiscal quarter.</w:t>
      </w:r>
    </w:p>
    <w:p>
      <w:pPr>
        <w:spacing w:after="0" w:line="22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Further, the Company retains liability of up to $1,000,000 for each general liability claim, up to $250,000 for each workers’ compensation claim and up to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Tires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Tires purchased as part of trailing equipment are capitalized as part of the cost of the equipment. Replacement tires are charged to expense when placed in service.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Included in cash and cash equivalents are all investments, except those provided for collateral, with an original maturity of 3 months or less. At December 25, 2021, the Company had $4,049,000 of restricted cash held by the Company’s insurance segment included in the short-term investments balance of $35,778,000, providing collateral, along with certain other investments as further described in footnote 4, for the letters of credit issued to guarantee payment of insurance claims.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Company’s financial instruments include cash equivalents, short and long-term investments, trade and other accounts receivable, accounts payable, other accrued liabilities, and long-term debt plus current maturities (“Debt”). The carrying value of cash equivalents, trade and other accounts receivable, accounts payable, current insurance claims and other accrued liabilities approximates fair value as the assets and liabilities are short term in nature. Short and long-term investments are carried at fair value as further described in Note 4 in the Company’s consolidated financial statements. The Company’s Debt includes borrowings under the Company’s revolving credit facility, to the extent there are any, plus borrowings relating to finance lease obligations used to finance trailing equipment. The interest rates on borrowings under the revolving credit facility are typically tied to short-term interest rates that adjust monthly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allowance for doubtful accounts for both trade and other receivables represents management’s estimate of the amount of outstanding receivables that will not be collected. Estimates are used to determine the allowance for doubtful accounts for both trade and other receivables and are generally based on specific identification, historical collection results, current economic trends and changes in payment trends. Following is a summary of the activity in the allowance for doubtful accounts for fiscal years ending December 25, 2021, December 26, 2020 and December 28, 2019 (in thousands):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Balance at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Costs and</w:t>
            </w:r>
          </w:p>
        </w:tc>
        <w:tc>
          <w:tcPr>
            <w:tcW w:w="120" w:type="dxa"/>
            <w:vAlign w:val="bottom"/>
          </w:tcPr>
          <w:p>
            <w:pPr>
              <w:spacing w:after="0"/>
              <w:rPr>
                <w:sz w:val="12"/>
                <w:szCs w:val="12"/>
                <w:color w:val="auto"/>
              </w:rPr>
            </w:pPr>
          </w:p>
        </w:tc>
        <w:tc>
          <w:tcPr>
            <w:tcW w:w="820" w:type="dxa"/>
            <w:vAlign w:val="bottom"/>
            <w:gridSpan w:val="2"/>
          </w:tcPr>
          <w:p>
            <w:pPr>
              <w:jc w:val="right"/>
              <w:ind w:right="341"/>
              <w:spacing w:after="0" w:line="149" w:lineRule="exact"/>
              <w:rPr>
                <w:sz w:val="20"/>
                <w:szCs w:val="20"/>
                <w:color w:val="auto"/>
              </w:rPr>
            </w:pPr>
            <w:r>
              <w:rPr>
                <w:rFonts w:ascii="Arial" w:cs="Arial" w:eastAsia="Arial" w:hAnsi="Arial"/>
                <w:sz w:val="14"/>
                <w:szCs w:val="14"/>
                <w:b w:val="1"/>
                <w:bCs w:val="1"/>
                <w:color w:val="auto"/>
                <w:w w:val="95"/>
              </w:rPr>
              <w:t>Net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Recoveries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Fiscal Year Ended December 25, 2021</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8,670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(3,331)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8,399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Other non-current receivables</w:t>
            </w: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(6,270)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16,785</w:t>
            </w:r>
          </w:p>
        </w:tc>
        <w:tc>
          <w:tcPr>
            <w:tcW w:w="0" w:type="dxa"/>
            <w:vAlign w:val="bottom"/>
          </w:tcPr>
          <w:p>
            <w:pPr>
              <w:spacing w:after="0"/>
              <w:rPr>
                <w:sz w:val="1"/>
                <w:szCs w:val="1"/>
                <w:color w:val="auto"/>
              </w:rPr>
            </w:pPr>
          </w:p>
        </w:tc>
      </w:tr>
      <w:tr>
        <w:trPr>
          <w:trHeight w:val="439"/>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For the Fiscal Year Ended December 26, 2020</w:t>
            </w: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8,806</w:t>
            </w:r>
          </w:p>
        </w:tc>
        <w:tc>
          <w:tcPr>
            <w:tcW w:w="1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(3,698)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receivables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16,350</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9,415</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Fiscal Year Ended December 28, 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6,413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(3,438)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Other non-current receivables</w:t>
            </w: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(7,361)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Property</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Operating property is recorded at cost. Depreciation is provided on a straight-line basis over the estimated useful lives of the related assets. Buildings and improvements are being depreciated over 30 years. Trailing equipment is being depreciated over 7 to 10 years. Information technology hardware and software is generally being depreciated over 3 to 7 years.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Goodwill represents the excess of the purchase price paid over the fair value of the net assets of acquired businesses. The Company has two reporting units within the transportation logistics segment that report goodwill. The Company reviews its goodwill balance annually for impairment for each reporting unit, unless circumstances dictate more frequent assessments, and in accordance with ASU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ASU 2011-08 permits an initial assessment, commonly referred to as “step zero”, of qualitative factors to determine whether it is more likely than not that the fair value of a reporting unit is less than its carrying amount and also provides a basis for determining whether it is necessary to perform the quantitative analysis required by ASC Topic 350. In the fourth fiscal quarter of 2021, the Company performed the qualitative assessment of goodwill and determined it was more likely than not that the fair value of each of its reporting units would be greater than its carrying amount. Therefore, the Company determined it was not necessary to perform the quantitative goodwill impairment test. Furthermore, there has been no historical impairment of the Company’s goodwill.</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Income tax expense is equal to the current year’s liability for income taxes and a provision for deferred income taxes. Deferred tax assets and liabilities are recorded for the future tax effects attributable to temporary differences between the financial statement carrying amounts of existing assets and liabilities and their respective tax bases. Deferred tax assets and liabilities are measured using the enacted tax rates expected to be applied to taxable income in the years in which those temporary differences are expected to be recovered or settled.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Company’s share-based payment arrangements include restricted stock units (“RSU”), non-vested restricted stock, Deferred Stock Units and stock options. The fair value of an RSU with a performance condition is determined based on the market value of the Company’s Common Stock on the date of grant, discounted for lack of marketability for a minimum post-vesting holding requirement. With respect to RSU awards with a performance condition, the Company reports compensation expense ratably over the life of the</w:t>
      </w:r>
    </w:p>
    <w:p>
      <w:pPr>
        <w:sectPr>
          <w:pgSz w:w="11900" w:h="16838" w:orient="portrait"/>
          <w:cols w:equalWidth="0" w:num="1">
            <w:col w:w="11100"/>
          </w:cols>
          <w:pgMar w:left="320" w:top="486" w:right="479" w:bottom="1440" w:gutter="0" w:footer="0" w:header="0"/>
        </w:sectPr>
      </w:pP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00"/>
          </w:cols>
          <w:pgMar w:left="320" w:top="486" w:right="4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award based on an estimated number of units that will vest over the life of the award, multiplied by the fair value of an RSU. The fair value of an RSU with a market condition is determined at the time of grant based on the expected achievement of the market condition at the end of each vesting period. With respect to RSU awards with a market condition, the Company recognizes compensation expense ratably over the requisite service period under an award based on the fair market value of the award at the time of grant, regardless of whether the market condition is satisfied. Previously recognized compensation cost would be reversed, however, if the employee terminated employment prior to completing such requisite service period. The Company estimates the fair value of stock option awards on the date of grant using the Black-Scholes pricing model and recognizes compensation cost for stock option awards expected to vest on a straight-line basis over the requisite service period for the entire award. Forfeitures are estimated at grant date based on historical experience and anticipated employee turnover. The fair values of each share of non-vested restricted stock issued and Deferred Stock Unit granted are based on the fair value of a share of the Company’s Common Stock on the date of grant and compensation costs for non-vested restricted stock and Deferred Stock Units are recognized on a straight-line basis over the requisite service period for the award.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Earnings per common share attributable to Landstar System, Inc. and subsidiary are based on the weighted average number of shares outstanding, including outstanding non-vested restricted stock and outstanding Deferred Stock Units. Diluted earnings per share attributable to Landstar System, Inc. and subsidiary are based on the weighted average number of common shares and Deferred Stock Units outstanding plus the incremental shares that would have been outstanding upon the assumed exercise of all dilutive stock options. During the fiscal years ended December 25, 2021, December 26, 2020 and December 28, 2019, in reference to the determination of diluted earnings per share attributable to Landstar System, Inc. and subsidiary, the future compensation cost attributable to outstanding shares of non-vested restricted stock exceeded the impact of incremental shares that would have been outstanding upon the assumed exercise of all dilutive stock options.</w:t>
      </w:r>
    </w:p>
    <w:p>
      <w:pPr>
        <w:spacing w:after="0" w:line="177"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For the fiscal years ended December 25, 2021, December 26, 2020 and December 28, 2019, no options outstanding to purchase shares of Common Stock were antidilutive. Outstanding RSUs were excluded from the calculation of diluted earnings per share for all periods because the performance metric requirements or market condition for vesting had not been satisfied.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 December 7, 2021, the Company announced that its Board of Directors declared a special cash dividend of $2.00 per share payable on January 21, 2022, to stockholders of record of its Common Stock as of January 7, 2022. Dividends payable of $75,387,000 related to this special dividend were included in current liabilities in the consolidated balance sheet at December 25, 2021.</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 December 8, 2020, the Company announced that its Board of Directors declared a special cash dividend of $2.00 per share payable on January 22, 2021, to stockholders of record of its Common Stock as of January 8, 2021. Dividends payable of $76,770,000 related to this special dividend were included in current liabilities in the consolidated balance sheet at December 26,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w:t>
      </w:r>
    </w:p>
    <w:p>
      <w:pPr>
        <w:spacing w:after="0" w:line="321"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Acquired Business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On May 6, 2020, the Company formed a new subsidiary that was subsequently renamed Landstar Blue, LLC (“Landstar Blue”). Landstar Blue arranges truckload brokerage services with a focus on the contract services market. Landstar Blue also helps the Company to develop and test digital technologies and processes for the benefit of all Landstar independent commission sales agents. On June 15, 2020, Landstar Blue completed the acquisition of an independent agent of the Company whose business focused on truckload brokerage services. Cash consideration paid for the acquisition was approximately $2,766,000. In addition, the Company assumed approximately $200,000 in liabilities consisting of additional contingent purchase price, of which $168,000 was remitted during the Company’s 2021 second fiscal quarter. The resulting goodwill arising from the acquisition was approximately $2,871,000.</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With respect to this goodwill, 100% is expected to be deductible by the Company for U.S. income tax purposes. Pro forma financial information for prior periods is not presented as the Company does not believe the acquisition to be material to the Company’s consolidated results. The results of operations for Landstar Blue are presented as part of the Company’s transportations logistics segment. Transaction costs for the acquisition were insignificant.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Other Comprehensive Income</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presents the components of and changes in accumulated other comprehensive income attributable to Landstar System, Inc. and subsidiary, net of related income taxes, as of and for the fiscal years ended December 25, 2021, December 26, 2020 and December 28, 2019 (in thousands):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Holding (Losses)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Gains 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80" w:type="dxa"/>
            <w:vAlign w:val="bottom"/>
            <w:gridSpan w:val="4"/>
          </w:tcPr>
          <w:p>
            <w:pPr>
              <w:jc w:val="center"/>
              <w:ind w:left="956"/>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26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4"/>
                <w:szCs w:val="14"/>
                <w:b w:val="1"/>
                <w:bCs w:val="1"/>
                <w:color w:val="auto"/>
                <w:w w:val="86"/>
              </w:rPr>
              <w:t>Securities</w:t>
            </w:r>
          </w:p>
        </w:tc>
        <w:tc>
          <w:tcPr>
            <w:tcW w:w="320" w:type="dxa"/>
            <w:vAlign w:val="bottom"/>
          </w:tcPr>
          <w:p>
            <w:pPr>
              <w:spacing w:after="0"/>
              <w:rPr>
                <w:sz w:val="14"/>
                <w:szCs w:val="14"/>
                <w:color w:val="auto"/>
              </w:rPr>
            </w:pPr>
          </w:p>
        </w:tc>
        <w:tc>
          <w:tcPr>
            <w:tcW w:w="1280" w:type="dxa"/>
            <w:vAlign w:val="bottom"/>
            <w:gridSpan w:val="4"/>
          </w:tcPr>
          <w:p>
            <w:pPr>
              <w:ind w:left="260"/>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2018</w:t>
            </w:r>
          </w:p>
        </w:tc>
        <w:tc>
          <w:tcPr>
            <w:tcW w:w="1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(4,945)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1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2019</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2020</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25, 2021</w:t>
            </w:r>
          </w:p>
        </w:tc>
        <w:tc>
          <w:tcPr>
            <w:tcW w:w="1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Amounts reclassified from accumulated other comprehensive income to investment income due to the realization of previously unrealized gains and losses in the accompanying consolidated statements of income were not significant for the fiscal years ended December 25, 2021, December 26, 2020 and December 28,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Investments include primarily investment-grade corporate bonds and asset-backed securities having maturities of up to five years (the “bond portfolio”) and money market investments. Investments in the bond portfolio are reported as available-for-sale 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available-for-sale 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non-credit-related 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non-transferability, 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and direct obligations of government agencies. Unrealized gains, net of unrealized losses, on the investments in the bond portfolio were $144,000 and $3,578,000 at December 25, 2021 and December 26, 2020,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8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The amortized cost and fair values of available-for-sale investments are as follows at December 25, 2021 and December 26, 2020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25, 2021</w:t>
            </w: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5980" w:type="dxa"/>
            <w:vAlign w:val="bottom"/>
            <w:gridSpan w:val="3"/>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22,441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 and direct obligations of government agencies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137,916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138,356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171,449</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171,593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26, 2020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 and direct obligations of government agencies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101,720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119,013</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122,591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those available-for-sale investments with unrealized losses at December 25, 2021 and December 26, 2020, the following table summarizes the duration of the unrealized loss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12 months or longer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25, 2021</w:t>
            </w: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3"/>
        </w:trPr>
        <w:tc>
          <w:tcPr>
            <w:tcW w:w="5900" w:type="dxa"/>
            <w:vAlign w:val="bottom"/>
            <w:gridSpan w:val="2"/>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22,095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22,095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Corporate bonds and direct obligations of government agencies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72,526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72,526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94,621</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94,621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26, 2020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Corporate bonds and direct obligations of government agencies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2,681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w:t>
      </w:r>
    </w:p>
    <w:p>
      <w:pPr>
        <w:spacing w:after="0" w:line="187"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Short-term investments include $31,729,000 in current maturities of investments and $4,049,000 in restricted cash held by the Company’s insurance segment at December 25, 2021. The non-current portion of the bond portfolio of $139,864,000 is included in other assets. The short-term investments, together with $44,069,000 of non-current investments, provide collateral for the $72,267,000 of letters of credit issued to guarantee payment of insurance claims.</w:t>
      </w:r>
    </w:p>
    <w:p>
      <w:pPr>
        <w:spacing w:after="0" w:line="18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Investment income represents the earnings on the insurance segment’s assets. Investment income earned from the assets of the insurance segment are included as a component of operating income as the investment of these assets is critical to providing collateral, liquidity and earnings with respect to the operation of the Company’s insurance programs.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provisions for income taxes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104,640</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47,955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123,958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55,761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120,168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56,891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68,060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Temporary differences and carryforwards which gave rise to deferred tax assets and liabilities consisted of the following (in thousands):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 25, 2021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5"/>
              </w:rPr>
              <w:t>Dec. 26, 2020</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Receivable valuations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4,112</w:t>
            </w:r>
          </w:p>
        </w:tc>
        <w:tc>
          <w:tcPr>
            <w:tcW w:w="5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Self-insured claims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3,696</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Operating property</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57,903</w:t>
            </w:r>
          </w:p>
        </w:tc>
        <w:tc>
          <w:tcPr>
            <w:tcW w:w="5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52,014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64,270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58,873</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39,108</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summarizes the differences between income taxes calculated at the federal income tax rates of 21% on income before income taxes and the provisions for income taxes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6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at federal income tax rate</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$105,355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$52,289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$62,110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14,260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5,375</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8,876</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executive compensation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Meals and entertainment exclusion</w:t>
            </w:r>
          </w:p>
        </w:tc>
        <w:tc>
          <w:tcPr>
            <w:tcW w:w="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(2,069)</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(717)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(714)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120,168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56,891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68,060</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files a consolidated U.S. federal income tax return. The Company or its subsidiaries file state tax returns in the majority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 state tax jurisdictions. With few exceptions, the Company and its subsidiaries are no longer subject to U.S. federal or state income tax examinations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tax authorities for 2017 and prior years. The Company’s wholly-owned Canadian subsidiary, Landstar Canada, Inc., is subject to Canadian income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other taxes. The Company’s wholly-owned Mexican subsidiaries, Landstar Holdings, S. de R.L.C.V. and Landstar Metro, S.A.P.I. de C.V., are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Mexican income and other taxes. The Company’s Canadian and Mexican subsidiaries also may each be subject to U.S. income and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25, 2021 and December 26, 2020, the Company had $2,344,000 and $2,030,000, respectively, of net unrecognized tax benefits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representing the provision for the uncertainty of certain tax positions plus a component of interest and penalties. Estimated interest and penalties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 for the uncertainty of certain tax positions is included in income tax expense. At December 25, 2021 and December 26, 2020, there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$658,000 and $648,000, respectively, accrued for estimated interest and penalties related to the uncertainty of certain tax positions. The Company does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currently anticipate any significant increase or decrease to the unrecognized tax benefit during fiscal year 2022.</w:t>
      </w:r>
    </w:p>
    <w:p>
      <w:pPr>
        <w:sectPr>
          <w:pgSz w:w="11900" w:h="16838" w:orient="portrait"/>
          <w:cols w:equalWidth="0" w:num="1">
            <w:col w:w="11100"/>
          </w:cols>
          <w:pgMar w:left="320" w:top="486" w:right="479" w:bottom="1440" w:gutter="0" w:footer="0" w:header="0"/>
        </w:sectPr>
      </w:pP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00"/>
          </w:cols>
          <w:pgMar w:left="320" w:top="486" w:right="47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table summarizes the rollforward of the total amounts of gross unrecognized tax benefits for fiscal years 2021 and 2020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Fiscal Years</w:t>
            </w:r>
          </w:p>
        </w:tc>
      </w:tr>
      <w:tr>
        <w:trPr>
          <w:trHeight w:val="142"/>
        </w:trPr>
        <w:tc>
          <w:tcPr>
            <w:tcW w:w="67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 beginning of the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$ 3,014</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Gross increases related to current year tax positions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c>
          <w:tcPr>
            <w:tcW w:w="4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prior year tax positions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Gross decreases related to prior year tax positions</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(17)</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(820)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Gross unrecognized tax benefits – end of the year</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$ 2,585</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Landstar paid income taxes of $104,844,000 in fiscal year 2021, $47,589,000 in fiscal year 2020 and $67,317,000 in fiscal year 2019.</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Operating Property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property is summarized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Dec. 25, 2021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5"/>
              </w:rPr>
              <w:t>Dec. 26, 2020</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65,034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64,314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Trailing equipment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479,300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433,400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Information technology hardware and software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91,115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72,560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equipment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9.801</w:t>
            </w: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Total operating property, gross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661,485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596,403</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344,099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299,407</w:t>
            </w: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Total operating property, net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317,386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296,996</w:t>
            </w:r>
          </w:p>
        </w:tc>
        <w:tc>
          <w:tcPr>
            <w:tcW w:w="4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Included above is $189,053,000 in fiscal year 2021 and $199,045,000 in fiscal year 2020 of operating property under finance leases, $143,227,000 and $139,259,000, respectively, net of accumulated depreciation and amortization. Landstar acquired operating property by entering into finance leases in the amount of $48,674,000 in fiscal year 2021, $31,633,000 in fiscal year 2020 and $29,054,000 in fiscal year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Retirement Plan</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Landstar sponsors an Internal Revenue Code section 401(k) defined contribution plan for the benefit of U.S. domiciled full-time employees who have completed six months of service. The Company reduced the employee service requirement to three months of service as of January 1, 2022. Eligible employees make voluntary contributions up to 75% of their base salary, subject to certain limitations. Landstar contributes an amount equal to 100% of the first 3% and 50% of the next 2% of such contributions, subject to certain limitations.</w:t>
      </w:r>
    </w:p>
    <w:p>
      <w:pPr>
        <w:spacing w:after="0" w:line="17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expense for the Company-sponsored defined contribution plan included in selling, general and administrative expense was $2,374,000 in fiscal year 2021, $2,417,000 in fiscal year 2020 and $2,427,000 in fiscal year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Other than the finance lease obligations as presented on the consolidated balance sheets, the Company had no outstanding debt as of December 25,</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and December 26, 2020.</w:t>
      </w:r>
    </w:p>
    <w:p>
      <w:pPr>
        <w:spacing w:after="0" w:line="21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August 18, 2020, Landstar entered into an amended and restated credit agreement with a syndicate of banks and JPMorgan Chase Bank, N.A., as administrative agent (the “Credit Agreement”). The Credit Agreement, which matures on August 18, 2023, provides $250,000,000 of borrowing capacity in the form of a revolving credit facility, $35,000,000 of which may be utilized in the form of letters of credit. The Credit Agreement includes an “accordion” feature providing for a possible increase up to an aggregate borrowing capacity of $400,000,000.</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color w:val="auto"/>
        </w:rPr>
        <w:t>The revolving credit loans under the Credit Agreement, at the option of Landstar, bear interest at (i) the Eurocurrency rate plus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w:t>
      </w:r>
    </w:p>
    <w:p>
      <w:pPr>
        <w:spacing w:after="0" w:line="1"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0.25% to 0.35%, based on the Company’s Leverage Ratio at the end of the most recent applicable fiscal quarter for which financial statements have been delivered. As of December 25, 2021 and December 26, 2020, the Company had no borrowings outstanding under the Credit Agreement.</w:t>
      </w:r>
    </w:p>
    <w:p>
      <w:pPr>
        <w:spacing w:after="0" w:line="1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Credit Agreement contains a number of covenants that limit, among other things, the incurrence of additional indebtedness. The Company is required to, among other things, maintain a minimum Fixed Charge Coverage Ratio, as defined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8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interest rates on borrowings under the revolving credit facility are typically tied to short-term interest rates that adjust monthly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Landstar paid interest of $3,715,000 in fiscal year 2021, $3,915,000 in fiscal year 2020 and $4,439,000 in fiscal year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right-of-use assets and operating lease liabilities represent leases for facilities maintained in support of the Company’s network of BCO Independent Contractors and office space used to conduct Landstar’s business. These leases do not have significant rent escalation holidays, concessions, leasehold improvement incentives or other build-out clauses. Further, the leases do not contain contingent rent provisions. Landstar also rents certain trailing equipment to supplement the Company-owned trailer fleet under “month-to-month” lease terms, which are not required to be recorded on the balance sheet due to the less than twelve month lease term exemption. Sublease income is primarily comprised of weekly trailing equipment rentals to BCO Independent Contractors.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Most of Landstar’s operating leases include one or more options to renew. The exercise of lease renewal options is typically at Landstar’s sole discretion, and, as such, the majority of renewals to extend the lease terms are not included in the right-of-use assets and lease liabilities as they are not reasonably certain of exercise. Landstar regularly evaluates the renewal options, and when they are reasonably certain of exercise, Landstar includes the renewal period in the lease term.</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 for finance leases and operating leases as of December 25, 2021 were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right-of-use assets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$21,205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lease liability</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Total finance lease cost</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Lease cost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lease cost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Sublease income</w:t>
            </w:r>
          </w:p>
        </w:tc>
        <w:tc>
          <w:tcPr>
            <w:tcW w:w="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operating lease income</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Total net lease cost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22,267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Total net operating lease income, net of rent expense under operating leases, was $1,620,000 in fiscal year 2020. Total rent expense, net of sublease rent income, under operating leases was $490,000 in fiscal year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lease classification on the Company’s consolidated balance sheet as of December 25, 2021 is as follows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5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2,051</w:t>
            </w: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lease assets</w:t>
            </w:r>
          </w:p>
        </w:tc>
        <w:tc>
          <w:tcPr>
            <w:tcW w:w="4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Operating property, less accumulated depreciation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860" w:type="dxa"/>
            <w:vAlign w:val="bottom"/>
            <w:shd w:val="clear" w:color="auto" w:fill="CCEEFF"/>
          </w:tcPr>
          <w:p>
            <w:pPr>
              <w:spacing w:after="0"/>
              <w:rPr>
                <w:sz w:val="20"/>
                <w:szCs w:val="20"/>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143,227</w:t>
            </w: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Total lease assets</w:t>
            </w: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145,278</w:t>
            </w:r>
          </w:p>
        </w:tc>
        <w:tc>
          <w:tcPr>
            <w:tcW w:w="4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reconciles the undiscounted cash flows for the finance and operating leases to the finance and operating lease liabilities recorded on the balance sheet at December 25, 2021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Finance</w:t>
            </w: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Leases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2023</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31,973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2025</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Thereafter</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116,517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 amount representing interest (1.6% to 4.4%)</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111,804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Current maturities of long-term debt</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excluding current maturities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noncurrent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weighted average remaining lease term and the weighted average discount rate for finance and operating leases as of December 25, 2021 were:</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Finance Leases</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Weighted average remaining lease term (years)</w:t>
            </w:r>
          </w:p>
        </w:tc>
        <w:tc>
          <w:tcPr>
            <w:tcW w:w="1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3.6</w:t>
            </w:r>
          </w:p>
        </w:tc>
        <w:tc>
          <w:tcPr>
            <w:tcW w:w="9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3.2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340" w:type="dxa"/>
            <w:vAlign w:val="bottom"/>
            <w:gridSpan w:val="3"/>
          </w:tcPr>
          <w:p>
            <w:pPr>
              <w:ind w:left="2140"/>
              <w:spacing w:after="0"/>
              <w:rPr>
                <w:sz w:val="20"/>
                <w:szCs w:val="20"/>
                <w:color w:val="auto"/>
              </w:rPr>
            </w:pPr>
            <w:r>
              <w:rPr>
                <w:rFonts w:ascii="Arial" w:cs="Arial" w:eastAsia="Arial" w:hAnsi="Arial"/>
                <w:sz w:val="18"/>
                <w:szCs w:val="18"/>
                <w:color w:val="auto"/>
              </w:rPr>
              <w:t>2.6%</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w w:val="97"/>
              </w:rPr>
              <w:t>4.0%</w:t>
            </w:r>
          </w:p>
        </w:tc>
      </w:tr>
      <w:tr>
        <w:trPr>
          <w:trHeight w:val="350"/>
        </w:trPr>
        <w:tc>
          <w:tcPr>
            <w:tcW w:w="3740" w:type="dxa"/>
            <w:vAlign w:val="bottom"/>
          </w:tcPr>
          <w:p>
            <w:pPr>
              <w:spacing w:after="0"/>
              <w:rPr>
                <w:sz w:val="24"/>
                <w:szCs w:val="24"/>
                <w:color w:val="auto"/>
              </w:rPr>
            </w:pPr>
          </w:p>
        </w:tc>
        <w:tc>
          <w:tcPr>
            <w:tcW w:w="1420" w:type="dxa"/>
            <w:vAlign w:val="bottom"/>
          </w:tcPr>
          <w:p>
            <w:pPr>
              <w:jc w:val="right"/>
              <w:ind w:right="790"/>
              <w:spacing w:after="0"/>
              <w:rPr>
                <w:sz w:val="20"/>
                <w:szCs w:val="20"/>
                <w:color w:val="auto"/>
              </w:rPr>
            </w:pPr>
            <w:r>
              <w:rPr>
                <w:rFonts w:ascii="Arial" w:cs="Arial" w:eastAsia="Arial" w:hAnsi="Arial"/>
                <w:sz w:val="18"/>
                <w:szCs w:val="18"/>
                <w:color w:val="auto"/>
              </w:rPr>
              <w:t>54</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740"/>
          </w:cols>
          <w:pgMar w:left="320" w:top="486" w:right="8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Share-Based Payment Arrangements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As of December 25, 2021, the Company has an employee equity incentive plan, the 2011 equity incentive plan (the “2011 EIP”). The Company also has a stock compensation plan for members of its Board of Directors, the Amended and Restated 2013 Directors Stock Compensation Plan (as amended and restated as of May 17, 2016, the “2013 DSCP”). 6,000,000 shares of the Company’s Common Stock were authorized for issuance under the 2011 EIP and 115,000 shares of the Company’s Common Stock were authorized for issuance under the 2013 DSCP. The 2011 EIP and 2013 DSCP are each referred to herein as a “Plan,” and, collectively, as the “Plans.” Amounts recognized in the financial statements with respect to these Plans are as follows (in thousands):</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Fiscal Years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7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the Plans during the period</w:t>
            </w:r>
          </w:p>
        </w:tc>
        <w:tc>
          <w:tcPr>
            <w:tcW w:w="1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$ 27,537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$ 4,639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Amount of related income tax benefit recognized during the period</w:t>
            </w:r>
          </w:p>
        </w:tc>
        <w:tc>
          <w:tcPr>
            <w:tcW w:w="10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(7,063)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cost of the Plans during the period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Included in income tax benefits recognized in the fiscal years ended December 25, 2021, December 26, 2020 and December 28, 2019 were excess tax benefits from stock-based awards of $1,057,000, $941,000 and $3,019,000, respectively.</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of December 25, 2021, there were 56,782 shares of the Company’s Common Stock reserved for issuance under the 2013 DSCP and 3,502,816 shares of the Company’s Common Stock reserved for issuance under the 2011 EIP.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Stock Units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information regarding the Company’s outstanding restricted stock unit (“RSU”) awards with either a performance condition or a market condition under the Plans: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RSUs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29, 2018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292,345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68,820</w:t>
            </w:r>
          </w:p>
        </w:tc>
        <w:tc>
          <w:tcPr>
            <w:tcW w:w="30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Shares earned in excess of target </w:t>
            </w:r>
            <w:r>
              <w:rPr>
                <w:rFonts w:ascii="Arial" w:cs="Arial" w:eastAsia="Arial" w:hAnsi="Arial"/>
                <w:sz w:val="25"/>
                <w:szCs w:val="25"/>
                <w:color w:val="auto"/>
                <w:vertAlign w:val="superscript"/>
              </w:rPr>
              <w:t>(1)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71,172</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Vested shares, including shares earned in excess of target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(226,981)</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(6,481)</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86.60</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Outstanding at December 28, 2019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59,967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Shares earned in excess of target </w:t>
            </w:r>
            <w:r>
              <w:rPr>
                <w:rFonts w:ascii="Arial" w:cs="Arial" w:eastAsia="Arial" w:hAnsi="Arial"/>
                <w:sz w:val="25"/>
                <w:szCs w:val="25"/>
                <w:color w:val="auto"/>
                <w:vertAlign w:val="superscript"/>
              </w:rPr>
              <w:t>(2)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11,648</w:t>
            </w:r>
          </w:p>
        </w:tc>
        <w:tc>
          <w:tcPr>
            <w:tcW w:w="30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shares, including shares earned in excess of target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(76,290)</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(10,987)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26,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46,342</w:t>
            </w:r>
          </w:p>
        </w:tc>
        <w:tc>
          <w:tcPr>
            <w:tcW w:w="30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128.64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Shares earned in excess of target </w:t>
            </w:r>
            <w:r>
              <w:rPr>
                <w:rFonts w:ascii="Arial" w:cs="Arial" w:eastAsia="Arial" w:hAnsi="Arial"/>
                <w:sz w:val="25"/>
                <w:szCs w:val="25"/>
                <w:color w:val="auto"/>
                <w:vertAlign w:val="superscript"/>
              </w:rPr>
              <w:t>(3)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7,132</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Vested shares, including shares earned in excess of target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(24,600)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(2,688)</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Outstanding at December 25,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209,399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520" w:hanging="424"/>
        <w:spacing w:after="0" w:line="245" w:lineRule="auto"/>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Represents additional shares earned under both the January 27, 2015 and January 29, 2016 RSU awards as fiscal year 2018 financial results exceeded target performance level and under the May 1, 2015 RSU award as total shareholder return exceeded the target under the award.</w:t>
      </w:r>
    </w:p>
    <w:p>
      <w:pPr>
        <w:ind w:left="540" w:right="360" w:hanging="424"/>
        <w:spacing w:after="0" w:line="209" w:lineRule="auto"/>
        <w:tabs>
          <w:tab w:leader="none" w:pos="5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additional shares earned under the February 2, 2017 RSU awards as fiscal year 2019 financial results exceeded target performance level.</w:t>
      </w:r>
    </w:p>
    <w:p>
      <w:pPr>
        <w:spacing w:after="0" w:line="1" w:lineRule="exact"/>
        <w:rPr>
          <w:rFonts w:ascii="Arial" w:cs="Arial" w:eastAsia="Arial" w:hAnsi="Arial"/>
          <w:sz w:val="25"/>
          <w:szCs w:val="25"/>
          <w:color w:val="auto"/>
          <w:vertAlign w:val="superscript"/>
        </w:rPr>
      </w:pPr>
    </w:p>
    <w:p>
      <w:pPr>
        <w:ind w:left="540" w:hanging="424"/>
        <w:spacing w:after="0" w:line="204" w:lineRule="auto"/>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Represents shares earned in excess of target under the May 1, 2015 RSU award as total shareholder return exceeded the target under the award.</w:t>
      </w:r>
    </w:p>
    <w:p>
      <w:pPr>
        <w:spacing w:after="0" w:line="203"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fiscal years 2019, 2020 and 2021, the Company granted RSUs with a performance condition. During fiscal year 2019, the Company also issued RSUs with a market condition, as further described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RSUs with a performance condition granted on January 29, 2021 may vest on January 31 of 2024, 2025 and 2026 based on growth</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operating income and pre-tax income per diluted share from continuing operations as compared to the results from the 2020 fiscal year, adjusted to reflect the add back of non-cash impairment charges recorded in the Company’s 2020 fiscal year related to certain assets, primarily customer contract and related customer relationship intangible assets, held by the Company’s Mexican subsidiaries. RSUs with a performance condition granted on January 31, 2020 may vest on January 31 of 2023, 2024 and 2025. RSUs with a performance condition granted on February 1, 2019 may vest on January 31 of 2022, 2023 and 2024. RSUs with a performance condition granted on January 31, 2020 and February 1, 2019 vest based on growth in operating income and pre-tax income per diluted share from continuing operations attributable to Landstar System, Inc. and subsidiary as compared to a base year, being the year immediately preceding the year of grant. At the time of grant, the target number of common shares available for issuance under the January 29, 2021, January 31, 2020 and February 1, 2019 grants equals 100% of the number of RSUs granted, and the maximum number of common shares available for issuance under the January 29, 2021, January 31, 2020 and February 1, 2019 grants equals 200% of the number of RSUs credited to the recipient. In the event actual results exceed the target, the number of shares that will be granted will exceed the number of RSUs granted. The fair value of an RSU with a performance condition was determined based on the market value of the Company’s Common Stock on the date of grant, discounted for lack of marketability for a minimum post-vesting holding requirement. The discount rate due to lack of marketability used for RSU award grants with a performance condition for all periods was 7%. With respect to RSU awards with a performance condition, the Company reports compensation expense over the life of the award based on an estimated number of units that will vest over the life of the award, multiplied by the fair value of an RSU at the time of grant.</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During fiscal year 2019, the Company granted 9,725 RSUs that vest based on a market condition. The RSUs granted in 2019 may vest on June 30 of 2023, 2024 and 2025 based on the Company’s total shareholder return (“TSR”) compound annual growth rate over the vesting periods, adjusted to reflect dividends (if any) paid during such periods and capital adjustments as may be necessary. The maximum number of common shares available for issuance under each grant equals 150% of the number of RSUs granted. The fair value of each RSU award was determined at the time of grant based on the expected achievement of the market condition at the end of each vesting period. With respect to these RSU awards, the Company reports compensation expense ratably over the life of the award based on an estimated number of units that will vest over the life of the award, multiplied by the fair value of the RSU. Previously recognized compensation cost would be reversed only if the employee terminated employment prior to completing the requisite service period.</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recognized approximately $24,197,000, $1,602,000 and $1,557,000 of share-based compensation expense related to RSU awards in fiscal years 2021, 2020 and 2019, respectively. As of December 25, 2021, there was a maximum of $18.3 million of total unrecognized compensation cost related to RSU awards granted under the Plans with an expected average remaining life of approximately 3.3 years. With respect to RSU awards with a performance condition, the amount of future compensation expense to be recognized will be determined based on future operating results.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Non-vested Restricted Stock and Deferred Stock Units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2011 EIP provides the Compensation Committee of the Board of Directors with the authority to issue shares of Common Stock of the Company, subject to certain vesting and other restrictions on transfer (“restricted stock”).</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summarizes information regarding the Company’s outstanding shares of non-vested restricted stock and Deferred Stock Units (defined below) under the Plans: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Shares and Deferred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Stock Units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29, 2018</w:t>
            </w:r>
          </w:p>
        </w:tc>
        <w:tc>
          <w:tcPr>
            <w:tcW w:w="18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Granted</w:t>
            </w:r>
          </w:p>
        </w:tc>
        <w:tc>
          <w:tcPr>
            <w:tcW w:w="3520" w:type="dxa"/>
            <w:vAlign w:val="bottom"/>
            <w:gridSpan w:val="3"/>
          </w:tcPr>
          <w:p>
            <w:pPr>
              <w:jc w:val="right"/>
              <w:ind w:right="440"/>
              <w:spacing w:after="0"/>
              <w:rPr>
                <w:sz w:val="20"/>
                <w:szCs w:val="20"/>
                <w:color w:val="auto"/>
              </w:rPr>
            </w:pPr>
            <w:r>
              <w:rPr>
                <w:rFonts w:ascii="Arial" w:cs="Arial" w:eastAsia="Arial" w:hAnsi="Arial"/>
                <w:sz w:val="18"/>
                <w:szCs w:val="18"/>
                <w:color w:val="auto"/>
              </w:rPr>
              <w:t>30,338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3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(21,517)</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Non-vested at December 28, 2019</w:t>
            </w:r>
          </w:p>
        </w:tc>
        <w:tc>
          <w:tcPr>
            <w:tcW w:w="18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64,808</w:t>
            </w:r>
          </w:p>
        </w:tc>
        <w:tc>
          <w:tcPr>
            <w:tcW w:w="440" w:type="dxa"/>
            <w:vAlign w:val="bottom"/>
          </w:tcPr>
          <w:p>
            <w:pPr>
              <w:spacing w:after="0"/>
              <w:rPr>
                <w:sz w:val="19"/>
                <w:szCs w:val="19"/>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98.24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3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26,604</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111.88</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Vested</w:t>
            </w:r>
          </w:p>
        </w:tc>
        <w:tc>
          <w:tcPr>
            <w:tcW w:w="3520" w:type="dxa"/>
            <w:vAlign w:val="bottom"/>
            <w:gridSpan w:val="3"/>
          </w:tcPr>
          <w:p>
            <w:pPr>
              <w:jc w:val="right"/>
              <w:ind w:right="380"/>
              <w:spacing w:after="0"/>
              <w:rPr>
                <w:sz w:val="20"/>
                <w:szCs w:val="20"/>
                <w:color w:val="auto"/>
              </w:rPr>
            </w:pPr>
            <w:r>
              <w:rPr>
                <w:rFonts w:ascii="Arial" w:cs="Arial" w:eastAsia="Arial" w:hAnsi="Arial"/>
                <w:sz w:val="18"/>
                <w:szCs w:val="18"/>
                <w:color w:val="auto"/>
              </w:rPr>
              <w:t>(28,621)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3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(2,351)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Non-vested at December 26, 2020</w:t>
            </w:r>
          </w:p>
        </w:tc>
        <w:tc>
          <w:tcPr>
            <w:tcW w:w="18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60,440</w:t>
            </w:r>
          </w:p>
        </w:tc>
        <w:tc>
          <w:tcPr>
            <w:tcW w:w="440" w:type="dxa"/>
            <w:vAlign w:val="bottom"/>
          </w:tcPr>
          <w:p>
            <w:pPr>
              <w:spacing w:after="0"/>
              <w:rPr>
                <w:sz w:val="19"/>
                <w:szCs w:val="19"/>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103.65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3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26,351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150.20</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Vested</w:t>
            </w:r>
          </w:p>
        </w:tc>
        <w:tc>
          <w:tcPr>
            <w:tcW w:w="3520" w:type="dxa"/>
            <w:vAlign w:val="bottom"/>
            <w:gridSpan w:val="3"/>
          </w:tcPr>
          <w:p>
            <w:pPr>
              <w:jc w:val="right"/>
              <w:ind w:right="380"/>
              <w:spacing w:after="0"/>
              <w:rPr>
                <w:sz w:val="20"/>
                <w:szCs w:val="20"/>
                <w:color w:val="auto"/>
              </w:rPr>
            </w:pPr>
            <w:r>
              <w:rPr>
                <w:rFonts w:ascii="Arial" w:cs="Arial" w:eastAsia="Arial" w:hAnsi="Arial"/>
                <w:sz w:val="18"/>
                <w:szCs w:val="18"/>
                <w:color w:val="auto"/>
              </w:rPr>
              <w:t>(29,055)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3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Non-vested at December 25, 2021</w:t>
            </w:r>
          </w:p>
        </w:tc>
        <w:tc>
          <w:tcPr>
            <w:tcW w:w="18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56,436</w:t>
            </w:r>
          </w:p>
        </w:tc>
        <w:tc>
          <w:tcPr>
            <w:tcW w:w="440" w:type="dxa"/>
            <w:vAlign w:val="bottom"/>
          </w:tcPr>
          <w:p>
            <w:pPr>
              <w:spacing w:after="0"/>
              <w:rPr>
                <w:sz w:val="19"/>
                <w:szCs w:val="19"/>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0" w:type="dxa"/>
            <w:vAlign w:val="bottom"/>
            <w:vMerge w:val="restart"/>
          </w:tcPr>
          <w:p>
            <w:pPr>
              <w:jc w:val="right"/>
              <w:ind w:right="710"/>
              <w:spacing w:after="0"/>
              <w:rPr>
                <w:sz w:val="20"/>
                <w:szCs w:val="20"/>
                <w:color w:val="auto"/>
              </w:rPr>
            </w:pPr>
            <w:r>
              <w:rPr>
                <w:rFonts w:ascii="Arial" w:cs="Arial" w:eastAsia="Arial" w:hAnsi="Arial"/>
                <w:sz w:val="18"/>
                <w:szCs w:val="18"/>
                <w:color w:val="auto"/>
              </w:rPr>
              <w:t>56</w:t>
            </w: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fair value of each share of non-vested restricted stock issued and Deferred Stock Unit granted under the Plans is based on the fair value of a share of the Company’s Common Stock on the date of grant. Shares of non-vested restricted stock are generally subject to vesting in three equal annual installments either on the first, second and third anniversary of the date of grant or the third, fourth and fifth anniversary of the date of the grant, or 100% on the first or fifth anniversary of the date of the grant. For restricted stock awards granted under the 2013 DSCP plan, each recipient may elect to defer receipt of shares and instead receive restricted stock units (“Deferred Stock Units”), which represent contingent rights to receive shares of the Company’s Common Stock on the date of recipient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December 25, 2021, there was $3,880,000 of total unrecognized compensation cost related to non-vested shares of restricted stock and Deferred Stock Units granted under the Plans. The unrecognized compensation cost related to these non-vested shares of restricted stock and Deferred Stock Units is expected to be recognized over a weighted average period of 1.9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The Company did not grant any stock options during its 2019, 2020 or 2021 fiscal years. Options outstanding under the Plans generally become exercisable in either five equal annual installments commencing on the first anniversary of the date of grant or 100% on the fifth anniversary from the date of grant, subject to acceleration in certain circumstances. All options granted under the Plans expire on the tenth anniversary of the date of grant. Under the Plans, the exercise price of each option equals the fair market value of the Company’s Common Stock on the date of grant.</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fair value of each option grant on its grant date was calculated using the Black-Scholes option pricing model. The Company utilized historical data, including exercise patterns and employee departure behavior, in estimating the term that options will be outstanding. Expected volatility was based on historical volatility and other factors, such as expected changes in volatility arising from planned changes to the Company’s business, if any. The risk-free interest rate was based on the yield of zero coupon U.S. Treasury bonds for terms that approximated the terms of the options granted.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regarding the Company’s outstanding stock options under the Plans: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940" w:type="dxa"/>
            <w:vAlign w:val="bottom"/>
            <w:gridSpan w:val="6"/>
          </w:tcPr>
          <w:p>
            <w:pPr>
              <w:ind w:left="520"/>
              <w:spacing w:after="0"/>
              <w:rPr>
                <w:sz w:val="20"/>
                <w:szCs w:val="20"/>
                <w:color w:val="auto"/>
              </w:rPr>
            </w:pPr>
            <w:r>
              <w:rPr>
                <w:rFonts w:ascii="Arial" w:cs="Arial" w:eastAsia="Arial" w:hAnsi="Arial"/>
                <w:sz w:val="14"/>
                <w:szCs w:val="14"/>
                <w:b w:val="1"/>
                <w:bCs w:val="1"/>
                <w:color w:val="auto"/>
              </w:rPr>
              <w:t>Options Outstanding</w:t>
            </w:r>
          </w:p>
        </w:tc>
        <w:tc>
          <w:tcPr>
            <w:tcW w:w="2420" w:type="dxa"/>
            <w:vAlign w:val="bottom"/>
            <w:gridSpan w:val="5"/>
          </w:tcPr>
          <w:p>
            <w:pPr>
              <w:ind w:left="5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98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58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per Share</w:t>
            </w: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at December 29,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(44,647)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49.64</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at December 28, 2019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44,467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51.24</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44,467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(26,817)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49.31</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at December 26, 2020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17,650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54.16</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17,650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(9,080)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52.97</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at December 25, 2021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8,570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55.42</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 stock options outstanding and exercisable at December 25, 2021:</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0"/>
                <w:szCs w:val="10"/>
                <w:color w:val="auto"/>
              </w:rPr>
            </w:pPr>
          </w:p>
        </w:tc>
        <w:tc>
          <w:tcPr>
            <w:tcW w:w="1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440" w:type="dxa"/>
            <w:vAlign w:val="bottom"/>
            <w:gridSpan w:val="3"/>
          </w:tcPr>
          <w:p>
            <w:pPr>
              <w:jc w:val="center"/>
              <w:ind w:left="233"/>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0"/>
              </w:rPr>
              <w:t>Range of Exercise Prices Per Share</w:t>
            </w: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540" w:type="dxa"/>
            <w:vAlign w:val="bottom"/>
            <w:gridSpan w:val="3"/>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30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Outstanding</w:t>
            </w:r>
          </w:p>
        </w:tc>
        <w:tc>
          <w:tcPr>
            <w:tcW w:w="700" w:type="dxa"/>
            <w:vAlign w:val="bottom"/>
          </w:tcPr>
          <w:p>
            <w:pPr>
              <w:spacing w:after="0"/>
              <w:rPr>
                <w:sz w:val="15"/>
                <w:szCs w:val="15"/>
                <w:color w:val="auto"/>
              </w:rPr>
            </w:pPr>
          </w:p>
        </w:tc>
        <w:tc>
          <w:tcPr>
            <w:tcW w:w="18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Term (years)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$ 51.99 - $ 56.40</w:t>
            </w:r>
          </w:p>
        </w:tc>
        <w:tc>
          <w:tcPr>
            <w:tcW w:w="2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8,570</w:t>
            </w:r>
          </w:p>
        </w:tc>
        <w:tc>
          <w:tcPr>
            <w:tcW w:w="7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Options Exercisable</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0"/>
                <w:szCs w:val="10"/>
                <w:color w:val="auto"/>
              </w:rPr>
            </w:pPr>
          </w:p>
        </w:tc>
        <w:tc>
          <w:tcPr>
            <w:tcW w:w="1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440" w:type="dxa"/>
            <w:vAlign w:val="bottom"/>
            <w:gridSpan w:val="3"/>
          </w:tcPr>
          <w:p>
            <w:pPr>
              <w:jc w:val="center"/>
              <w:ind w:left="233"/>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0"/>
              </w:rPr>
              <w:t>Range of Exercise Prices Per Share</w:t>
            </w: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540" w:type="dxa"/>
            <w:vAlign w:val="bottom"/>
            <w:gridSpan w:val="3"/>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vMerge w:val="continue"/>
          </w:tcPr>
          <w:p>
            <w:pPr>
              <w:spacing w:after="0"/>
              <w:rPr>
                <w:sz w:val="15"/>
                <w:szCs w:val="15"/>
                <w:color w:val="auto"/>
              </w:rPr>
            </w:pPr>
          </w:p>
        </w:tc>
        <w:tc>
          <w:tcPr>
            <w:tcW w:w="2280" w:type="dxa"/>
            <w:vAlign w:val="bottom"/>
          </w:tcPr>
          <w:p>
            <w:pPr>
              <w:spacing w:after="0"/>
              <w:rPr>
                <w:sz w:val="15"/>
                <w:szCs w:val="15"/>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5"/>
              </w:rPr>
              <w:t>Exercisable</w:t>
            </w:r>
          </w:p>
        </w:tc>
        <w:tc>
          <w:tcPr>
            <w:tcW w:w="700" w:type="dxa"/>
            <w:vAlign w:val="bottom"/>
          </w:tcPr>
          <w:p>
            <w:pPr>
              <w:spacing w:after="0"/>
              <w:rPr>
                <w:sz w:val="15"/>
                <w:szCs w:val="15"/>
                <w:color w:val="auto"/>
              </w:rPr>
            </w:pPr>
          </w:p>
        </w:tc>
        <w:tc>
          <w:tcPr>
            <w:tcW w:w="18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Term (years)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$ 51.99 - $ 56.40</w:t>
            </w:r>
          </w:p>
        </w:tc>
        <w:tc>
          <w:tcPr>
            <w:tcW w:w="234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8,570</w:t>
            </w:r>
          </w:p>
        </w:tc>
        <w:tc>
          <w:tcPr>
            <w:tcW w:w="7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160" w:type="dxa"/>
            <w:vAlign w:val="bottom"/>
          </w:tcPr>
          <w:p>
            <w:pPr>
              <w:spacing w:after="0"/>
              <w:rPr>
                <w:sz w:val="24"/>
                <w:szCs w:val="24"/>
                <w:color w:val="auto"/>
              </w:rPr>
            </w:pPr>
          </w:p>
        </w:tc>
        <w:tc>
          <w:tcPr>
            <w:tcW w:w="3060" w:type="dxa"/>
            <w:vAlign w:val="bottom"/>
            <w:gridSpan w:val="3"/>
          </w:tcPr>
          <w:p>
            <w:pPr>
              <w:jc w:val="right"/>
              <w:ind w:right="422"/>
              <w:spacing w:after="0"/>
              <w:rPr>
                <w:sz w:val="20"/>
                <w:szCs w:val="20"/>
                <w:color w:val="auto"/>
              </w:rPr>
            </w:pPr>
            <w:r>
              <w:rPr>
                <w:rFonts w:ascii="Arial" w:cs="Arial" w:eastAsia="Arial" w:hAnsi="Arial"/>
                <w:sz w:val="18"/>
                <w:szCs w:val="18"/>
                <w:color w:val="auto"/>
              </w:rPr>
              <w:t>57</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At December 25, 2021, the total intrinsic value of options outstanding and exercisable was $1,001,000. The total intrinsic value of stock options exercised during fiscal years 2021, 2020 and 2019 was $965,000, $1,846,000 and $2,683,000,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25, 2021, there was no unrecognized compensation cost related to non-vested stock options granted under the Plans.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Stock Compensation Plan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Directors of the Company who are not employees of the Company (each an “Eligible Director”) are entitled under the 2013 DSCP to receive a grant of such number of restricted shares of the Company’s Common Stock or Deferred Stock Units equal to the quotient of $110,000 divided by the fair market value of a share of Common Stock on the date immediately following the date of each annual meeting of the stockholders of the Company (an “Annual Meeting”). In fiscal year 2021, 3,804 restricted shares were granted to Eligible Directors. In fiscal year 2020, 4,890 restricted shares and 978 Deferred Stock Units were granted to Eligible Directors. In fiscal year 2019, 5,240 restricted shares and 1,048 Deferred Stock Units were granted to Eligible Directors. Restricted shares and Deferred Stock Units granted in 2019, 2020 and 2021 vest on the date of the next Annual Meeting. During fiscal years 2021, 2020 and 2019, $669,000, $660,000 and $660,000, respectively, of compensation cost was recorded for the grant of these restricted shares and Deferred Stock Units.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Equity</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 December 7, 2021, the Landstar System, Inc. Board of Directors authorized the Company to purchase up to 1,912,824 additional shares of the Company’s Common Stock from time to time in the open market and in privately negotiated transactions. On December 9, 2019, the Landstar System, Inc. Board of Directors authorized the Company to purchase up to 1,849,068 shares of the Company’s Common Stock from time to time in the open market and in privately negotiated transactions. As of December 25, 2021, the Company had authorization to purchase in the aggregate up to 3,000,000 shares of its Common Stock under these programs. No specific expiration date has been assigned to the December 7, 2021 or December 9, 2019 authorizations. During fiscal year 2021, Landstar purchased a total of 733,854 shares of its Common Stock at a total cost of $122,722,000 pursuant to its previously announced stock purchase program.</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2,000,000 shares of preferred stock authorized and unissued.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At December 25, 2021, in addition to the $72,267,000 letters of credit secured by investments, Landstar had $33,170,000 of letters of credit outstanding under the Company’s Credit Agreement.</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Segment Information</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$6.5 billion during the most recently completed fiscal year. The Company reports the results of two operating segments: the transportation logistics segment and the insurance segment.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transportation logistics segment provides a wide range of integrated transportation management solutions. Transportation services offered by the Company include truckload, less-than-truckload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The results of operations from Landstar Blue and Landstar Metro are presented as part of the Company’s transportation logistics segment.</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Internal revenue for premiums billed by the insurance segment to the transportation logistics segment is calculated each fiscal period based primarily on an actuarial calculation of historical loss experience and is believed to approximate the cost that would have been incurred by the transportation logistics segment had similar insurance been obtained from an unrelated third party.</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a segment’s performance based on operating income.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 single customer accounted for more than 10% of the Company’s consolidated revenue in fiscal years 2021, 2020 and 2019. Substantially all of the Company’s revenue is generated in North America, primarily through customers located in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86"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summarize information about the Company’s reportable business segments as of and for the fiscal years ending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25, 2021, December 26, 2020 and December 28, 2019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00" w:type="dxa"/>
            <w:vAlign w:val="bottom"/>
            <w:gridSpan w:val="3"/>
          </w:tcPr>
          <w:p>
            <w:pPr>
              <w:ind w:left="1760"/>
              <w:spacing w:after="0"/>
              <w:rPr>
                <w:sz w:val="20"/>
                <w:szCs w:val="20"/>
                <w:color w:val="auto"/>
              </w:rPr>
            </w:pPr>
            <w:r>
              <w:rPr>
                <w:rFonts w:ascii="Arial" w:cs="Arial" w:eastAsia="Arial" w:hAnsi="Arial"/>
                <w:sz w:val="14"/>
                <w:szCs w:val="14"/>
                <w:b w:val="1"/>
                <w:bCs w:val="1"/>
                <w:color w:val="auto"/>
                <w:w w:val="93"/>
              </w:rPr>
              <w:t>Transportation</w:t>
            </w:r>
          </w:p>
        </w:tc>
        <w:tc>
          <w:tcPr>
            <w:tcW w:w="40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Insurance</w:t>
            </w:r>
          </w:p>
        </w:tc>
        <w:tc>
          <w:tcPr>
            <w:tcW w:w="40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Logistics</w:t>
            </w:r>
          </w:p>
        </w:tc>
        <w:tc>
          <w:tcPr>
            <w:tcW w:w="4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External revenue</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6,465,711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71,857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$6,537,568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Internal revenue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income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Expenditures on long-lived assets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Finance lease additions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1,736,854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308,611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2020</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External revenue</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4,076,519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$4,132,981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Internal revenue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221,210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252,950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Expenditures on long-lived assets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additions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1,301,991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351,808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1,653,799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External revenue</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4,028,336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56,241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$4,084,577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Internal revenue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income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Expenditures on long-lived assets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Finance lease additions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1,168,944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258,767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Change in Accounting Estimate for Self-Insured Claims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table summarizes the adverse effect of the increase in the cost of insurance claims resulting from unfavorable development of prior year self-insured claims estimates on operating income, net income attributable to Landstar System, Inc. and subsidiary and earnings per share attributable to Landstar System, Inc. and subsidiary set forth in the consolidated statements of income for the fiscal years ended December 25, 2021, December 26, 2020 and December 28, 2019 (in thousands, except per share amounts):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25,</w:t>
            </w:r>
          </w:p>
        </w:tc>
        <w:tc>
          <w:tcPr>
            <w:tcW w:w="1800" w:type="dxa"/>
            <w:vAlign w:val="bottom"/>
            <w:gridSpan w:val="4"/>
          </w:tcPr>
          <w:p>
            <w:pPr>
              <w:ind w:left="580"/>
              <w:spacing w:after="0" w:line="119" w:lineRule="exact"/>
              <w:rPr>
                <w:sz w:val="20"/>
                <w:szCs w:val="20"/>
                <w:color w:val="auto"/>
              </w:rPr>
            </w:pPr>
            <w:r>
              <w:rPr>
                <w:rFonts w:ascii="Arial" w:cs="Arial" w:eastAsia="Arial" w:hAnsi="Arial"/>
                <w:sz w:val="13"/>
                <w:szCs w:val="13"/>
                <w:b w:val="1"/>
                <w:bCs w:val="1"/>
                <w:color w:val="auto"/>
              </w:rPr>
              <w:t>December 26,</w:t>
            </w:r>
          </w:p>
        </w:tc>
        <w:tc>
          <w:tcPr>
            <w:tcW w:w="106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w w:val="96"/>
              </w:rPr>
              <w:t>December 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attributable to Landstar System, Inc. and subsidiary</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7,359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6,989</w:t>
            </w:r>
          </w:p>
        </w:tc>
        <w:tc>
          <w:tcPr>
            <w:tcW w:w="380" w:type="dxa"/>
            <w:vAlign w:val="bottom"/>
          </w:tcPr>
          <w:p>
            <w:pPr>
              <w:spacing w:after="0"/>
              <w:rPr>
                <w:sz w:val="20"/>
                <w:szCs w:val="20"/>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Diluted earnings per share attributable to Landstar System, Inc. and</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100"/>
          </w:cols>
          <w:pgMar w:left="320" w:top="486" w:right="479" w:bottom="1440" w:gutter="0" w:footer="0" w:header="0"/>
        </w:sectPr>
      </w:pPr>
    </w:p>
    <w:p>
      <w:pPr>
        <w:jc w:val="center"/>
        <w:ind w:right="-1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00"/>
          </w:cols>
          <w:pgMar w:left="320" w:top="486" w:right="47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unfavorable development of prior years’ claims in the fiscal year ended December 25, 2021 was primarily attributable to five claims. The unfavorable development of prior years’ claims in fiscal years ended December 26, 2020 and December 28, 2019 was attributable in each year to several specific claims as well as actuarially determined adjustments to prior year commercial trucking loss estimates.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Impairment of Intangible and Other Assets</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During the 2020 second fiscal quarter, the Company recorded a non-cash impairment charge of $2,582,000 in respect of certain assets, primarily customer contract and related customer relationship intangible assets, acquired on September 20, 2017, along with substantially all of the other assets of the asset-light transportation logistics business of Fletes Avella, S.A. de C.V. (“Fletes Avella”). During the 2020 second fiscal quarter negative macroeconomic trends in Mexico during the first half of 2020, including issues in the international oil and gas sector, caused significant disruptions in the Mexican economy. Accordingly, management performed impairment tests of the carrying values of certain assets that primarily relate to intra-Mexico business acquired as a part of the Fletes Avella acquisition. The impairment tests resulted in an impairment charge of $2,582,000, as the negative macroeconomic trends in Mexico caused updated financial projections as of the end of the 2020 second quarter relating to these intangible assets to be substantially below those originally anticipated at the acquisition date. There was no corresponding goodwill impairment charge recorded as the fair value of the Company’s Mexico and cross-border reporting unit continues to significantly exceed its carrying value as of December 25,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(“ASU 2016-13”), which requires measurement and recognition of expected versus incurred credit losses for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held. The Company adopted ASU 2016-13 on December 29, 2019, under the modified retrospective transition method resulting in a $702,000 cumulative adjustment to retained earnings.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Landstar System, Inc.: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audited the accompanying consolidated balance sheets of Landstar System, Inc. and subsidiary (the Company) as of December 25, 2021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26, 2020, the related consolidated statements of income, comprehensive income, changes in equity, and cash flows for each of the fiscal years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three-year period ended December 25, 2021, and the related notes (collectively, the consolidated financial statements). In our opinion,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consolidated financial statements present fairly, in all material respects, the financial position of the Company as of December 25, 2021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26, 2020, and the results of its operations and its cash flows for each of the fiscal years in the three-year period ended December 25, 2021,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conformity with U.S. generally accepted accounting principles.</w:t>
      </w:r>
    </w:p>
    <w:p>
      <w:pPr>
        <w:spacing w:after="0" w:line="21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25, 2021, based on criteria established in </w:t>
      </w:r>
      <w:r>
        <w:rPr>
          <w:rFonts w:ascii="Arial" w:cs="Arial" w:eastAsia="Arial" w:hAnsi="Arial"/>
          <w:sz w:val="16"/>
          <w:szCs w:val="16"/>
          <w:i w:val="1"/>
          <w:iCs w:val="1"/>
          <w:color w:val="auto"/>
        </w:rPr>
        <w:t>Internal Control – Integrated Framework</w:t>
      </w:r>
    </w:p>
    <w:p>
      <w:pPr>
        <w:ind w:left="120" w:right="500"/>
        <w:spacing w:after="0" w:line="260"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18, 2022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effectiveness of the Company’s internal control over financial reporting.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Self-insurance claims liability</w:t>
      </w:r>
    </w:p>
    <w:p>
      <w:pPr>
        <w:spacing w:after="0" w:line="117"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color w:val="auto"/>
        </w:rPr>
        <w:t>As discussed in Note 1 to the consolidated financial statements, the liability for insurance claims includes the actuarially determined estimated costs of cargo, property, casualty, general liability, and workers’ compensation claims, both reported and for claims incurred but not reported, up to the Company’s retained amount per claim, which is referred to as the self-insurance claims liability. The Company’s estimated costs of insurance claims include assumptions regarding the frequency and severity of claims and are based upon the facts and circumstances known as of the applicable balance sheet date. The Company’s liability for insurance claims as of December 25, 2021 was $96,405,000, which includes the self-insurance claims liability.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6"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96" w:lineRule="auto"/>
        <w:rPr>
          <w:sz w:val="20"/>
          <w:szCs w:val="20"/>
          <w:color w:val="auto"/>
        </w:rPr>
      </w:pPr>
      <w:r>
        <w:rPr>
          <w:rFonts w:ascii="Arial" w:cs="Arial" w:eastAsia="Arial" w:hAnsi="Arial"/>
          <w:sz w:val="16"/>
          <w:szCs w:val="16"/>
          <w:color w:val="auto"/>
        </w:rPr>
        <w:t>We identified the evaluation of the self-insurance claims liability as a critical audit matter. Specialized skills were needed to evaluate the Company’s estimate of the self-insurance claims liability. This evaluation included assumptions related to the potential for the development in future periods of claims both reported and incurred but not reported as of the balance sheet date and the impact of those developments on the estimated liability associated with such claims. In addition, a higher degree of subjective auditor judgment was required to evaluate the Company’s estimate of the self-insurance claims liability due to the inherent uncertainty in the frequency and severity of claims.</w:t>
      </w:r>
    </w:p>
    <w:p>
      <w:pPr>
        <w:spacing w:after="0" w:line="53"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self-insurance claims process, including a control related to the development of the assumptions used to estimate the self-insurance claims liability. We involved actuarial professionals with specialized skills and knowledge, who assisted in assessing the actuarial model used by the Company, including the external actuarial report obtained by the Company, to estimate the self-insurance claims liability for consistency with generally accepted actuarial standards. The actuarial professionals also developed an estimate of the range of the self-insurance claims liability using the Company’s historical claims data. We compared the estimated range of the self-insurance claims liability to the amount recorded by the Company. We tested a sample of the claims data used in the actuarial model by comparing the data to underlying claims details. For certain claims, we obtained letters received directly from the Company’s external legal counsel to evaluate the liability recorded. Additionally, we assessed the development of the self-insurance claims liability in the current year compared to recent historical trends and considered the implications on the current year assumptions. We also assessed facts and circumstances received by the Company after the balance sheet date, but before the consolidated financial statements were issued, and the impact, if any, of such facts and circumstances on the self-insurance claims liability.</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1988.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18, 2022</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86"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of the end of the period covered by this Annual Report on Form 10-K, an evaluation was carried out, under the supervision and with the participation of the Company’s management, including the Chief Executive Officer (“CEO”) and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December 25, 2021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Management’s Report on Internal Control over Financial Reporting</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Management of Landstar System, Inc. (the “Company”) is responsible for establishing and maintaining effective internal control over financial reporting, as such term is defined in Rules 13a-15(f) and 15d-15(f) under the Securities Exchange Act, as amended.</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Company’s financial statements.</w:t>
      </w:r>
    </w:p>
    <w:p>
      <w:pPr>
        <w:spacing w:after="0" w:line="178" w:lineRule="exact"/>
        <w:rPr>
          <w:sz w:val="20"/>
          <w:szCs w:val="20"/>
          <w:color w:val="auto"/>
        </w:rPr>
      </w:pPr>
    </w:p>
    <w:p>
      <w:pPr>
        <w:jc w:val="both"/>
        <w:ind w:left="120" w:right="460" w:firstLine="440"/>
        <w:spacing w:after="0" w:line="311" w:lineRule="auto"/>
        <w:rPr>
          <w:sz w:val="20"/>
          <w:szCs w:val="20"/>
          <w:color w:val="auto"/>
        </w:rPr>
      </w:pPr>
      <w:r>
        <w:rPr>
          <w:rFonts w:ascii="Arial" w:cs="Arial" w:eastAsia="Arial" w:hAnsi="Arial"/>
          <w:sz w:val="16"/>
          <w:szCs w:val="16"/>
          <w:color w:val="auto"/>
        </w:rPr>
        <w:t>Management, with the participation of the Company’s principal executive and financial officer, assessed the effectiveness of the Company’s internal control over financial reporting as of December 25, 2021. This assessment was performed using the criteria established under the Internal Control-Integrated Framework (2013) established by the Committee of Sponsoring Organizations of the Treadway Commission (COSO).</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Internal control over financial reporting cannot provide absolute assurance of achieving financial reporting objectives because of its inherent limitations, including the possibility of human error or circumvention or overriding of internal control. Accordingly, even effective internal control over financial reporting can provide only reasonable assurance with respect to financial statement preparation and reporting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Based on the assessment performed using the criteria established by COSO, management has concluded that the Company maintained effective internal control over financial reporting as of December 25,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86"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KPMG LLP (PCAOB ID: 185), the independent registered public accounting firm that audited the financial statements included in this Annual Report on Form 10-K for the fiscal year ended December 25, 2021, has issued an audit report on the effectiveness of the Company’s internal control over financial reporting. Such report appears immediately below.</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Attestation Report of the Registered Public Accounting Firm</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40"/>
          </w:cols>
          <w:pgMar w:left="320" w:top="486" w:right="7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Landstar System, Inc.: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 xml:space="preserve">We have audited Landstar System, Inc. and subsidiary’s (the Company) internal control over financial reporting as of December 25,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25,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25, 2021 and December 26, 2020, the related consolidated statements of income, comprehensive income, changes in equity, and cash flows for each of the fiscal years in the three-year period ended December 25, 2021, and the related notes (collectively, the consolidated financial statements), and our report dated February 18, 2022 expressed an unqualified opinion on those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18, 2022</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8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Company’s fourth fiscal quarter that have materially affected, or are reasonably likely to materially affect, the Company’s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40"/>
          </w:cols>
          <w:pgMar w:left="320" w:top="486"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information required by this Item concerning the Directors (and nominees for Directors) and Executive Officers of the Company will be set forth under the captions “Election of Directors,” “Directors of the Company,” “Information Regarding Board of Directors and Committees,” and “Executive Officers of the Company” and “Section 16(a) Beneficial Ownership Reporting Compliance” in the Company’s definitive Proxy Statement for its annual meeting of stockholders to be filed with the Securities and Exchange Commission pursuant to Regulation 14A, and is incorporated herein by reference. The information required by this Item concerning the Company’s Audit Committee and the Audit Committee’s Financial Expert will be set forth under the caption “Information Regarding Board of Directors and Committees” and “Report of the Audit Committee” in the Company’s definitive Proxy Statement for its annual meeting of stockholders to be filed with the Securities and Exchange Commission pursuant to Regulation 14A, and is incorporated herein by reference.</w:t>
      </w:r>
    </w:p>
    <w:p>
      <w:pPr>
        <w:spacing w:after="0" w:line="19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 xml:space="preserve">The Company has adopted a Code of Ethics and Business Conduct that applies to each of its directors and employees, including its principal executive officer, principal financial officer, controller and all other employees performing similar functions. The Code of Ethics and Business Conduct is available on the Company’s website at </w:t>
      </w:r>
      <w:r>
        <w:rPr>
          <w:rFonts w:ascii="Arial" w:cs="Arial" w:eastAsia="Arial" w:hAnsi="Arial"/>
          <w:sz w:val="17"/>
          <w:szCs w:val="17"/>
          <w:i w:val="1"/>
          <w:iCs w:val="1"/>
          <w:color w:val="auto"/>
        </w:rPr>
        <w:t>www.landstar.com</w:t>
      </w:r>
      <w:r>
        <w:rPr>
          <w:rFonts w:ascii="Arial" w:cs="Arial" w:eastAsia="Arial" w:hAnsi="Arial"/>
          <w:sz w:val="17"/>
          <w:szCs w:val="17"/>
          <w:color w:val="auto"/>
        </w:rPr>
        <w:t xml:space="preserve"> under “Investor Relations — Corporate Governance.” The Company intends to satisfy the disclosure requirement under Item 5.05 of Form 8-K regarding amendments to, or waivers from, a provision or provisions of the Code of Ethics and Business Conduct by posting such information on its website at the web address indicated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information required by this Item will be set forth under the captions “Compensation of Directors,” “Compensation of Executive Officers,” “Compensation Discussion and Analysis,” “Summary Compensation Table,” “Grants of Plan-Based Awards,” “Option Exercises and Stock Vested,” “Outstanding Equity Awards at Fiscal Year End,” “Nonqualified Deferred Compensation,” “Report of the Compensation Committee on Executive Compensation” and “Key Executive Employment Protection Agreements” in the Company’s definitive Proxy Statement for its annual meeting of stockholders to be filed with the Securities and Exchange Commission pursuant to Regulation 14A, and is incorporated herein by reference.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ind w:left="120" w:right="100" w:firstLine="440"/>
        <w:spacing w:after="0" w:line="342" w:lineRule="auto"/>
        <w:rPr>
          <w:sz w:val="20"/>
          <w:szCs w:val="20"/>
          <w:color w:val="auto"/>
        </w:rPr>
      </w:pPr>
      <w:r>
        <w:rPr>
          <w:rFonts w:ascii="Arial" w:cs="Arial" w:eastAsia="Arial" w:hAnsi="Arial"/>
          <w:sz w:val="16"/>
          <w:szCs w:val="16"/>
          <w:color w:val="auto"/>
        </w:rPr>
        <w:t>The information required by this Item pursuant to Item 201(d) of Regulation S-K is set forth under the caption “Market for Registrants Common Equity, Related Stockholder Matters and Issuer Purchases of Equity Securities” in Part II, Item 5 of this report, and is incorporated herein by reference.</w:t>
      </w:r>
    </w:p>
    <w:p>
      <w:pPr>
        <w:spacing w:after="0" w:line="12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The information required by this Item pursuant to Item 403 of Regulation S-K will be set forth under the caption “Security Ownership by Management and Others” in the Company’s definitive Proxy Statement for its annual meeting of stockholders to be filed with the Securities and Exchange Commission pursuant to Regulation 14A, and is incorporated herein by reference.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None, other than information required to be disclosed under this item in regard to Director Independence, which will be set forth under the caption “Independent Directors” in the Company’s definitive Proxy Statement for its annual meeting of stockholders to be filed with the Securities and Exchange Commission pursuant to Regulation 14A and is incorporated herein by reference.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The information required by this item will be set forth under the caption “Report of the Audit Committee” and “Ratification of Appointment of Independent Registered Public Accounting Firm” in the Company’s definitive Proxy Statement for its annual meeting of stockholders to be filed with the Securities and Exchange Commission pursuant to Regulation 14A, and is incorporated herein by reference.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86"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80" w:type="dxa"/>
            <w:vAlign w:val="bottom"/>
            <w:gridSpan w:val="3"/>
          </w:tcPr>
          <w:p>
            <w:pPr>
              <w:ind w:left="44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432"/>
        </w:trPr>
        <w:tc>
          <w:tcPr>
            <w:tcW w:w="470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gridSpan w:val="8"/>
          </w:tcPr>
          <w:p>
            <w:pPr>
              <w:ind w:left="44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 and Supplementary Data</w:t>
            </w:r>
          </w:p>
        </w:tc>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00" w:type="dxa"/>
            <w:vAlign w:val="bottom"/>
            <w:gridSpan w:val="8"/>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w:t>
              </w:r>
            </w:hyperlink>
          </w:p>
        </w:tc>
        <w:tc>
          <w:tcPr>
            <w:tcW w:w="5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700" w:type="dxa"/>
            <w:vAlign w:val="bottom"/>
            <w:gridSpan w:val="8"/>
            <w:vMerge w:val="continue"/>
          </w:tcPr>
          <w:p>
            <w:pPr>
              <w:spacing w:after="0"/>
              <w:rPr>
                <w:sz w:val="13"/>
                <w:szCs w:val="13"/>
                <w:color w:val="auto"/>
              </w:rPr>
            </w:pPr>
          </w:p>
        </w:tc>
        <w:tc>
          <w:tcPr>
            <w:tcW w:w="59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Income</w:t>
              </w:r>
            </w:hyperlink>
          </w:p>
        </w:tc>
        <w:tc>
          <w:tcPr>
            <w:tcW w:w="2140" w:type="dxa"/>
            <w:vAlign w:val="bottom"/>
            <w:gridSpan w:val="6"/>
          </w:tcPr>
          <w:p>
            <w:pPr>
              <w:spacing w:after="0"/>
              <w:rPr>
                <w:sz w:val="18"/>
                <w:szCs w:val="18"/>
                <w:color w:val="auto"/>
              </w:rPr>
            </w:pPr>
          </w:p>
        </w:tc>
        <w:tc>
          <w:tcPr>
            <w:tcW w:w="628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Comprehensive Income</w:t>
              </w:r>
            </w:hyperlink>
          </w:p>
        </w:tc>
        <w:tc>
          <w:tcPr>
            <w:tcW w:w="960" w:type="dxa"/>
            <w:vAlign w:val="bottom"/>
            <w:gridSpan w:val="2"/>
          </w:tcPr>
          <w:p>
            <w:pPr>
              <w:spacing w:after="0"/>
              <w:rPr>
                <w:sz w:val="17"/>
                <w:szCs w:val="17"/>
                <w:color w:val="auto"/>
              </w:rPr>
            </w:pPr>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700" w:type="dxa"/>
            <w:vAlign w:val="bottom"/>
            <w:gridSpan w:val="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w:t>
              </w:r>
            </w:hyperlink>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Changes in Equity</w:t>
              </w:r>
            </w:hyperlink>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5"/>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Notes to Consolidated Financial Statements</w:t>
              </w:r>
            </w:hyperlink>
          </w:p>
        </w:tc>
        <w:tc>
          <w:tcPr>
            <w:tcW w:w="1360" w:type="dxa"/>
            <w:vAlign w:val="bottom"/>
            <w:gridSpan w:val="3"/>
          </w:tcPr>
          <w:p>
            <w:pPr>
              <w:spacing w:after="0"/>
              <w:rPr>
                <w:sz w:val="17"/>
                <w:szCs w:val="17"/>
                <w:color w:val="auto"/>
              </w:rPr>
            </w:pPr>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140" w:type="dxa"/>
            <w:vAlign w:val="bottom"/>
            <w:gridSpan w:val="4"/>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480" w:type="dxa"/>
            <w:vAlign w:val="bottom"/>
          </w:tcPr>
          <w:p>
            <w:pPr>
              <w:spacing w:after="0"/>
              <w:rPr>
                <w:sz w:val="17"/>
                <w:szCs w:val="17"/>
                <w:color w:val="auto"/>
              </w:rPr>
            </w:pPr>
          </w:p>
        </w:tc>
        <w:tc>
          <w:tcPr>
            <w:tcW w:w="6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Financial statement schedules have been omitted because the required information is included in the consolidated financial statements or the notes thereto, or is not applicable or required.</w:t>
      </w:r>
    </w:p>
    <w:p>
      <w:pPr>
        <w:spacing w:after="0" w:line="31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8"/>
              </w:rPr>
              <w:t>Exhibit</w:t>
            </w:r>
          </w:p>
        </w:tc>
        <w:tc>
          <w:tcPr>
            <w:tcW w:w="3280" w:type="dxa"/>
            <w:vAlign w:val="bottom"/>
            <w:vMerge w:val="restart"/>
          </w:tcPr>
          <w:p>
            <w:pPr>
              <w:ind w:left="25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7"/>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120" w:hanging="1004"/>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Articles of Incorporation and By-Laws:</w:t>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3.1</w:t>
            </w:r>
          </w:p>
        </w:tc>
        <w:tc>
          <w:tcPr>
            <w:tcW w:w="9720" w:type="dxa"/>
            <w:vAlign w:val="bottom"/>
            <w:tcBorders>
              <w:bottom w:val="single" w:sz="8" w:color="0000EE"/>
            </w:tcBorders>
            <w:gridSpan w:val="4"/>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Restated Certificate of Incorporation of the Company dated March 6, 2006, including Certificate of Designation of Junior Participating</w:t>
              </w:r>
            </w:hyperlink>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7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Preferred Stock dated February 10, 1993. (Incorporated by reference to Exhibit 3.1 to the Registrant’s Annual Report on Form 10-K for</w:t>
              </w:r>
            </w:hyperlink>
          </w:p>
        </w:tc>
      </w:tr>
      <w:tr>
        <w:trPr>
          <w:trHeight w:val="196"/>
        </w:trPr>
        <w:tc>
          <w:tcPr>
            <w:tcW w:w="1000" w:type="dxa"/>
            <w:vAlign w:val="bottom"/>
          </w:tcPr>
          <w:p>
            <w:pPr>
              <w:spacing w:after="0"/>
              <w:rPr>
                <w:sz w:val="17"/>
                <w:szCs w:val="17"/>
                <w:color w:val="auto"/>
              </w:rPr>
            </w:pPr>
          </w:p>
        </w:tc>
        <w:tc>
          <w:tcPr>
            <w:tcW w:w="53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the fiscal year ended December 31, 2005 (Commission File No. 0-21238))</w:t>
              </w:r>
            </w:hyperlink>
          </w:p>
        </w:tc>
        <w:tc>
          <w:tcPr>
            <w:tcW w:w="4400" w:type="dxa"/>
            <w:vAlign w:val="bottom"/>
            <w:gridSpan w:val="4"/>
          </w:tcPr>
          <w:p>
            <w:pPr>
              <w:spacing w:after="0"/>
              <w:rPr>
                <w:sz w:val="17"/>
                <w:szCs w:val="17"/>
                <w:color w:val="auto"/>
              </w:rPr>
            </w:pPr>
          </w:p>
        </w:tc>
      </w:tr>
      <w:tr>
        <w:trPr>
          <w:trHeight w:val="304"/>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3.2</w:t>
            </w:r>
          </w:p>
        </w:tc>
        <w:tc>
          <w:tcPr>
            <w:tcW w:w="9760" w:type="dxa"/>
            <w:vAlign w:val="bottom"/>
            <w:gridSpan w:val="5"/>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The Company’s Bylaws, as amended and restated on February 21, 2011. (Incorporated by reference to Exhibit 3.2 to the Registrant’s</w:t>
              </w:r>
            </w:hyperlink>
          </w:p>
        </w:tc>
      </w:tr>
      <w:tr>
        <w:trPr>
          <w:trHeight w:val="196"/>
        </w:trPr>
        <w:tc>
          <w:tcPr>
            <w:tcW w:w="1000" w:type="dxa"/>
            <w:vAlign w:val="bottom"/>
          </w:tcPr>
          <w:p>
            <w:pPr>
              <w:spacing w:after="0"/>
              <w:rPr>
                <w:sz w:val="17"/>
                <w:szCs w:val="17"/>
                <w:color w:val="auto"/>
              </w:rPr>
            </w:pPr>
          </w:p>
        </w:tc>
        <w:tc>
          <w:tcPr>
            <w:tcW w:w="95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Annual Report on Form 10-K for fiscal year ended December 25, 2010 (Commission File No. 0-21238))</w:t>
              </w:r>
            </w:hyperlink>
          </w:p>
        </w:tc>
        <w:tc>
          <w:tcPr>
            <w:tcW w:w="22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hanging="1004"/>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4.1 P</w:t>
            </w: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Specimen of Common Stock Certificate. (Incorporated by reference to Exhibit 4.1 to the Registrant’s Registration Statement on Form S-1</w:t>
            </w:r>
          </w:p>
        </w:tc>
      </w:tr>
      <w:tr>
        <w:trPr>
          <w:trHeight w:val="230"/>
        </w:trPr>
        <w:tc>
          <w:tcPr>
            <w:tcW w:w="100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(Registration No. 33-57174))</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9900" w:type="dxa"/>
            <w:vAlign w:val="bottom"/>
            <w:gridSpan w:val="2"/>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 xml:space="preserve">Description of Securities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4.4 to the Registrant’s Annual Report on Form 10-K for fiscal year ended</w:t>
            </w: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December 28, 2019 (Commission File No. 0-21238))</w:t>
            </w:r>
          </w:p>
        </w:tc>
      </w:tr>
    </w:tbl>
    <w:p>
      <w:pPr>
        <w:spacing w:after="0" w:line="90" w:lineRule="exact"/>
        <w:rPr>
          <w:sz w:val="20"/>
          <w:szCs w:val="20"/>
          <w:color w:val="auto"/>
        </w:rPr>
      </w:pPr>
    </w:p>
    <w:p>
      <w:pPr>
        <w:ind w:left="1120" w:hanging="1004"/>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1120" w:right="40" w:hanging="998"/>
        <w:spacing w:after="0" w:line="286"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88">
        <w:r>
          <w:rPr>
            <w:rFonts w:ascii="Arial" w:cs="Arial" w:eastAsia="Arial" w:hAnsi="Arial"/>
            <w:sz w:val="17"/>
            <w:szCs w:val="17"/>
            <w:u w:val="single" w:color="auto"/>
            <w:color w:val="0000EE"/>
          </w:rPr>
          <w:t>Amended and Restated Credit Agreement, dated as of August 18, 2020, among Landstar System Holdings, Inc., the Company, the lenders</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named therein, and JPMorgan Chase Bank, N.A. as Administrative Agent (including exhibits and schedules thereto). (Incorporated by</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reference to Exhibit 10.1 to the Registrant’s Form 8-K filed on August 24, 2020 (Commission File No. 0-21238))</w:t>
        </w:r>
      </w:hyperlink>
    </w:p>
    <w:p>
      <w:pPr>
        <w:spacing w:after="0" w:line="57" w:lineRule="exact"/>
        <w:rPr>
          <w:rFonts w:ascii="Arial" w:cs="Arial" w:eastAsia="Arial" w:hAnsi="Arial"/>
          <w:sz w:val="17"/>
          <w:szCs w:val="17"/>
          <w:u w:val="single" w:color="auto"/>
          <w:color w:val="0000EE"/>
        </w:rPr>
      </w:pPr>
    </w:p>
    <w:p>
      <w:pPr>
        <w:ind w:left="1120" w:right="260" w:hanging="998"/>
        <w:spacing w:after="0" w:line="27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89">
        <w:r>
          <w:rPr>
            <w:rFonts w:ascii="Arial" w:cs="Arial" w:eastAsia="Arial" w:hAnsi="Arial"/>
            <w:sz w:val="18"/>
            <w:szCs w:val="18"/>
            <w:u w:val="single" w:color="auto"/>
            <w:color w:val="0000EE"/>
          </w:rPr>
          <w:t>Landstar System, Inc. Executive Incentive Compensation Plan (Incorporated by reference to Appendix A to the Registrant’s Definitive</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Proxy Statement filed on April 11, 2017 (Commission File No. 0-21238))</w:t>
        </w:r>
      </w:hyperlink>
    </w:p>
    <w:p>
      <w:pPr>
        <w:spacing w:after="0" w:line="62" w:lineRule="exact"/>
        <w:rPr>
          <w:sz w:val="20"/>
          <w:szCs w:val="20"/>
          <w:color w:val="auto"/>
        </w:rPr>
      </w:pPr>
    </w:p>
    <w:p>
      <w:pPr>
        <w:ind w:left="1120" w:hanging="998"/>
        <w:spacing w:after="0" w:line="29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90">
        <w:r>
          <w:rPr>
            <w:rFonts w:ascii="Arial" w:cs="Arial" w:eastAsia="Arial" w:hAnsi="Arial"/>
            <w:sz w:val="16"/>
            <w:szCs w:val="16"/>
            <w:u w:val="single" w:color="auto"/>
            <w:color w:val="0000EE"/>
          </w:rPr>
          <w:t>Landstar System, Inc. Supplemental Executive Retirement Plan, as amended and restated as of January 1, 2015 (Incorporated by reference</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to Exhibit 10.2 to the Registrant’s Annual Report on Form 10-K for the fiscal year ended December 27, 2014 (Commission File</w:t>
        </w:r>
      </w:hyperlink>
    </w:p>
    <w:p>
      <w:pPr>
        <w:ind w:left="1120"/>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No. 0-21238))</w:t>
        </w:r>
      </w:hyperlink>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8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40" w:right="140" w:hanging="930"/>
        <w:spacing w:after="0" w:line="26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92">
        <w:r>
          <w:rPr>
            <w:rFonts w:ascii="Arial" w:cs="Arial" w:eastAsia="Arial" w:hAnsi="Arial"/>
            <w:sz w:val="18"/>
            <w:szCs w:val="18"/>
            <w:u w:val="single" w:color="auto"/>
            <w:color w:val="0000EE"/>
          </w:rPr>
          <w:t>First Amendment, dated as of November 1, 2018, to the Landstar System, Inc. Supplemental Executive Retirement Plan (as amended and</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restated as of January 1, 2015) (Incorporated by reference to Exhibit 10.3 to the Registrant’s Annual Report on Form 10-K for the fiscal</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year ended December 29, 2018 (Commission File No. 0-21238))</w:t>
        </w:r>
      </w:hyperlink>
    </w:p>
    <w:p>
      <w:pPr>
        <w:spacing w:after="0" w:line="76" w:lineRule="exact"/>
        <w:rPr>
          <w:rFonts w:ascii="Arial" w:cs="Arial" w:eastAsia="Arial" w:hAnsi="Arial"/>
          <w:sz w:val="18"/>
          <w:szCs w:val="18"/>
          <w:u w:val="single" w:color="auto"/>
          <w:color w:val="0000EE"/>
        </w:rPr>
      </w:pPr>
    </w:p>
    <w:p>
      <w:pPr>
        <w:ind w:left="104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93">
        <w:r>
          <w:rPr>
            <w:rFonts w:ascii="Arial" w:cs="Arial" w:eastAsia="Arial" w:hAnsi="Arial"/>
            <w:sz w:val="18"/>
            <w:szCs w:val="18"/>
            <w:u w:val="single" w:color="auto"/>
            <w:color w:val="0000EE"/>
          </w:rPr>
          <w:t>Landstar System, Inc. 2011 Equity Incentive Plan, as amended through December 2, 2015, (Incorporated by reference to Appendix B to the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Registrant’s Definitive Proxy Statement filed on April 5, 2016 (Commission File No. 0-21238))</w:t>
        </w:r>
      </w:hyperlink>
    </w:p>
    <w:p>
      <w:pPr>
        <w:spacing w:after="0" w:line="62" w:lineRule="exact"/>
        <w:rPr>
          <w:sz w:val="20"/>
          <w:szCs w:val="20"/>
          <w:color w:val="auto"/>
        </w:rPr>
      </w:pPr>
    </w:p>
    <w:p>
      <w:pPr>
        <w:ind w:left="1040" w:right="20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93">
        <w:r>
          <w:rPr>
            <w:rFonts w:ascii="Arial" w:cs="Arial" w:eastAsia="Arial" w:hAnsi="Arial"/>
            <w:sz w:val="18"/>
            <w:szCs w:val="18"/>
            <w:u w:val="single" w:color="auto"/>
            <w:color w:val="0000EE"/>
          </w:rPr>
          <w:t>Landstar System, Inc. Amended and Restated 2013 Directors Stock Compensation Plan (Incorporated by reference to Appendix A to the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Registrant’s Definitive Proxy Statement filed on April 5, 2016 (Commission File No. 0-21238))</w:t>
        </w:r>
      </w:hyperlink>
    </w:p>
    <w:p>
      <w:pPr>
        <w:spacing w:after="0" w:line="62" w:lineRule="exact"/>
        <w:rPr>
          <w:sz w:val="20"/>
          <w:szCs w:val="20"/>
          <w:color w:val="auto"/>
        </w:rPr>
      </w:pPr>
    </w:p>
    <w:p>
      <w:pPr>
        <w:ind w:left="1040" w:right="120" w:hanging="930"/>
        <w:spacing w:after="0" w:line="26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94">
        <w:r>
          <w:rPr>
            <w:rFonts w:ascii="Arial" w:cs="Arial" w:eastAsia="Arial" w:hAnsi="Arial"/>
            <w:sz w:val="18"/>
            <w:szCs w:val="18"/>
            <w:u w:val="single" w:color="auto"/>
            <w:color w:val="0000EE"/>
          </w:rPr>
          <w:t>Form of Indemnification Agreement between the Company and directors and Executive Officers of the Company (Incorporated by</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reference to Exhibit 10.2 to the Registrant’s Annual Report on Form 10-K for the fiscal year ended December 27, 2003 (Commission File</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No. 0-21238))</w:t>
        </w:r>
      </w:hyperlink>
    </w:p>
    <w:p>
      <w:pPr>
        <w:spacing w:after="0" w:line="76" w:lineRule="exact"/>
        <w:rPr>
          <w:rFonts w:ascii="Arial" w:cs="Arial" w:eastAsia="Arial" w:hAnsi="Arial"/>
          <w:sz w:val="18"/>
          <w:szCs w:val="18"/>
          <w:u w:val="single" w:color="auto"/>
          <w:color w:val="0000EE"/>
        </w:rPr>
      </w:pPr>
    </w:p>
    <w:p>
      <w:pPr>
        <w:ind w:left="1040" w:right="80" w:hanging="930"/>
        <w:spacing w:after="0" w:line="26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95">
        <w:r>
          <w:rPr>
            <w:rFonts w:ascii="Arial" w:cs="Arial" w:eastAsia="Arial" w:hAnsi="Arial"/>
            <w:sz w:val="18"/>
            <w:szCs w:val="18"/>
            <w:u w:val="single" w:color="auto"/>
            <w:color w:val="0000EE"/>
          </w:rPr>
          <w:t>Form of Key Executive Employment Protection Agreement between Landstar System, Inc. and Executive Officers of the Company, in the</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form as amended as of December 26, 2015, (Incorporated by reference to Exhibit 10.12 to the Registrant’s Annual Report on Form 10-K</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for fiscal year ended December 26, 2015 (Commission File No. 0-21238))</w:t>
        </w:r>
      </w:hyperlink>
    </w:p>
    <w:p>
      <w:pPr>
        <w:spacing w:after="0" w:line="76" w:lineRule="exact"/>
        <w:rPr>
          <w:rFonts w:ascii="Arial" w:cs="Arial" w:eastAsia="Arial" w:hAnsi="Arial"/>
          <w:sz w:val="18"/>
          <w:szCs w:val="18"/>
          <w:u w:val="single" w:color="auto"/>
          <w:color w:val="0000EE"/>
        </w:rPr>
      </w:pPr>
    </w:p>
    <w:p>
      <w:pPr>
        <w:jc w:val="both"/>
        <w:ind w:left="1040" w:right="100" w:hanging="930"/>
        <w:spacing w:after="0" w:line="26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96">
        <w:r>
          <w:rPr>
            <w:rFonts w:ascii="Arial" w:cs="Arial" w:eastAsia="Arial" w:hAnsi="Arial"/>
            <w:sz w:val="18"/>
            <w:szCs w:val="18"/>
            <w:u w:val="single" w:color="auto"/>
            <w:color w:val="0000EE"/>
          </w:rPr>
          <w:t>Total Shareholder Return Performance Related Stock Award Agreement, dated May 1, 2015, between Landstar System, Inc. and James B.</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Gattoni (Incorporated by reference to Exhibit 99.1 to the Registrant’s Current Report on Form 8-K filed on March 19, 2015 (Commission</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File No. 0-21238))</w:t>
        </w:r>
      </w:hyperlink>
    </w:p>
    <w:p>
      <w:pPr>
        <w:spacing w:after="0" w:line="76" w:lineRule="exact"/>
        <w:rPr>
          <w:rFonts w:ascii="Arial" w:cs="Arial" w:eastAsia="Arial" w:hAnsi="Arial"/>
          <w:sz w:val="18"/>
          <w:szCs w:val="18"/>
          <w:u w:val="single" w:color="auto"/>
          <w:color w:val="0000EE"/>
        </w:rPr>
      </w:pPr>
    </w:p>
    <w:p>
      <w:pPr>
        <w:jc w:val="both"/>
        <w:ind w:left="1040" w:right="40" w:hanging="930"/>
        <w:spacing w:after="0" w:line="26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97">
        <w:r>
          <w:rPr>
            <w:rFonts w:ascii="Arial" w:cs="Arial" w:eastAsia="Arial" w:hAnsi="Arial"/>
            <w:sz w:val="18"/>
            <w:szCs w:val="18"/>
            <w:u w:val="single" w:color="auto"/>
            <w:color w:val="0000EE"/>
          </w:rPr>
          <w:t>Total Shareholder Return Performance Related Stock Award Agreement, between Landstar System, Inc. and James B. Gattoni, dated April</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24, 2018 (Incorporated by reference to Exhibit 10.1 to the Registrant’s Current Report on Form 8-K filed on April 25, 2018 (Commission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File No. 0-21238))</w:t>
        </w:r>
      </w:hyperlink>
    </w:p>
    <w:p>
      <w:pPr>
        <w:spacing w:after="0" w:line="76" w:lineRule="exact"/>
        <w:rPr>
          <w:rFonts w:ascii="Arial" w:cs="Arial" w:eastAsia="Arial" w:hAnsi="Arial"/>
          <w:sz w:val="18"/>
          <w:szCs w:val="18"/>
          <w:u w:val="single" w:color="auto"/>
          <w:color w:val="0000EE"/>
        </w:rPr>
      </w:pPr>
    </w:p>
    <w:p>
      <w:pPr>
        <w:jc w:val="both"/>
        <w:ind w:left="1040" w:right="4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98">
        <w:r>
          <w:rPr>
            <w:rFonts w:ascii="Arial" w:cs="Arial" w:eastAsia="Arial" w:hAnsi="Arial"/>
            <w:sz w:val="18"/>
            <w:szCs w:val="18"/>
            <w:u w:val="single" w:color="auto"/>
            <w:color w:val="0000EE"/>
          </w:rPr>
          <w:t>Letter Agreement, dated May 20, 2021, between Landstar System, Inc. and Federico L. Pensotti (Incorporated by reference to Exhibit 10.1</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to the Registrant’s Current Report on Form 10-Q filed on July 30, 2021 (Commission File No. 0-21238))</w:t>
        </w:r>
      </w:hyperlink>
    </w:p>
    <w:p>
      <w:pPr>
        <w:spacing w:after="0" w:line="58" w:lineRule="exact"/>
        <w:rPr>
          <w:sz w:val="20"/>
          <w:szCs w:val="20"/>
          <w:color w:val="auto"/>
        </w:rPr>
      </w:pPr>
    </w:p>
    <w:p>
      <w:pPr>
        <w:ind w:left="1040" w:hanging="92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Subsidiaries of the Registrant:</w:t>
      </w:r>
    </w:p>
    <w:p>
      <w:pPr>
        <w:spacing w:after="0" w:line="121"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74">
        <w:r>
          <w:rPr>
            <w:rFonts w:ascii="Arial" w:cs="Arial" w:eastAsia="Arial" w:hAnsi="Arial"/>
            <w:sz w:val="16"/>
            <w:szCs w:val="16"/>
            <w:u w:val="single" w:color="auto"/>
            <w:color w:val="0000EE"/>
          </w:rPr>
          <w:t>List of Subsidiaries of the Registrant</w:t>
        </w:r>
      </w:hyperlink>
    </w:p>
    <w:p>
      <w:pPr>
        <w:spacing w:after="0" w:line="113" w:lineRule="exact"/>
        <w:rPr>
          <w:sz w:val="20"/>
          <w:szCs w:val="20"/>
          <w:color w:val="auto"/>
        </w:rPr>
      </w:pPr>
    </w:p>
    <w:p>
      <w:pPr>
        <w:ind w:left="1040" w:hanging="92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121"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75">
        <w:r>
          <w:rPr>
            <w:rFonts w:ascii="Arial" w:cs="Arial" w:eastAsia="Arial" w:hAnsi="Arial"/>
            <w:sz w:val="16"/>
            <w:szCs w:val="16"/>
            <w:u w:val="single" w:color="auto"/>
            <w:color w:val="0000EE"/>
          </w:rPr>
          <w:t>Consent of KPMG LLP as Independent Registered Public Accounting Firm</w:t>
        </w:r>
      </w:hyperlink>
    </w:p>
    <w:p>
      <w:pPr>
        <w:spacing w:after="0" w:line="113" w:lineRule="exact"/>
        <w:rPr>
          <w:sz w:val="20"/>
          <w:szCs w:val="20"/>
          <w:color w:val="auto"/>
        </w:rPr>
      </w:pPr>
    </w:p>
    <w:p>
      <w:pPr>
        <w:ind w:left="1040" w:hanging="92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76">
        <w:r>
          <w:rPr>
            <w:rFonts w:ascii="Arial" w:cs="Arial" w:eastAsia="Arial" w:hAnsi="Arial"/>
            <w:sz w:val="16"/>
            <w:szCs w:val="16"/>
            <w:u w:val="single" w:color="auto"/>
            <w:color w:val="0000EE"/>
          </w:rPr>
          <w:t>Powers of Attorney</w:t>
        </w:r>
      </w:hyperlink>
    </w:p>
    <w:p>
      <w:pPr>
        <w:spacing w:after="0" w:line="113" w:lineRule="exact"/>
        <w:rPr>
          <w:sz w:val="20"/>
          <w:szCs w:val="20"/>
          <w:color w:val="auto"/>
        </w:rPr>
      </w:pPr>
    </w:p>
    <w:p>
      <w:pPr>
        <w:ind w:left="1040" w:hanging="92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Certifications pursuant to Section 302 of the Sarbanes-Oxley Act of 2002:</w:t>
      </w:r>
    </w:p>
    <w:p>
      <w:pPr>
        <w:spacing w:after="0" w:line="121"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2">
        <w:r>
          <w:rPr>
            <w:rFonts w:ascii="Arial" w:cs="Arial" w:eastAsia="Arial" w:hAnsi="Arial"/>
            <w:sz w:val="16"/>
            <w:szCs w:val="16"/>
            <w:u w:val="single" w:color="auto"/>
            <w:color w:val="0000EE"/>
          </w:rPr>
          <w:t>Chief Executive Officer certification, as adopted pursuant to Section 302 of the Sarbanes-Oxley Act of 2002</w:t>
        </w:r>
      </w:hyperlink>
    </w:p>
    <w:p>
      <w:pPr>
        <w:spacing w:after="0" w:line="117"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3">
        <w:r>
          <w:rPr>
            <w:rFonts w:ascii="Arial" w:cs="Arial" w:eastAsia="Arial" w:hAnsi="Arial"/>
            <w:sz w:val="16"/>
            <w:szCs w:val="16"/>
            <w:u w:val="single" w:color="auto"/>
            <w:color w:val="0000EE"/>
          </w:rPr>
          <w:t>Chief Financial Officer certification, as adopted pursuant to Section 302 of the Sarbanes-Oxley Act of 2002</w:t>
        </w:r>
      </w:hyperlink>
    </w:p>
    <w:p>
      <w:pPr>
        <w:spacing w:after="0" w:line="113" w:lineRule="exact"/>
        <w:rPr>
          <w:sz w:val="20"/>
          <w:szCs w:val="20"/>
          <w:color w:val="auto"/>
        </w:rPr>
      </w:pPr>
    </w:p>
    <w:p>
      <w:pPr>
        <w:ind w:left="1040" w:hanging="92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Certifications pursuant to Section 906 of the Sarbanes-Oxley Act of 2002:</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20" w:type="dxa"/>
            <w:vAlign w:val="bottom"/>
          </w:tcPr>
          <w:p>
            <w:pPr>
              <w:jc w:val="right"/>
              <w:ind w:right="330"/>
              <w:spacing w:after="0"/>
              <w:rPr>
                <w:sz w:val="20"/>
                <w:szCs w:val="20"/>
                <w:color w:val="auto"/>
              </w:rPr>
            </w:pPr>
            <w:r>
              <w:rPr>
                <w:rFonts w:ascii="Arial" w:cs="Arial" w:eastAsia="Arial" w:hAnsi="Arial"/>
                <w:sz w:val="18"/>
                <w:szCs w:val="18"/>
                <w:color w:val="auto"/>
                <w:w w:val="97"/>
              </w:rPr>
              <w:t>32.1**</w:t>
            </w:r>
          </w:p>
        </w:tc>
        <w:tc>
          <w:tcPr>
            <w:tcW w:w="100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Chief Executive Officer certification pursuant to 18 U.S.C. Section 1350, as adopted pursuant to Section 906 of the Sarbanes-Oxley Act of</w:t>
              </w:r>
            </w:hyperlink>
          </w:p>
        </w:tc>
      </w:tr>
      <w:tr>
        <w:trPr>
          <w:trHeight w:val="196"/>
        </w:trPr>
        <w:tc>
          <w:tcPr>
            <w:tcW w:w="9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84">
              <w:r>
                <w:rPr>
                  <w:rFonts w:ascii="Arial" w:cs="Arial" w:eastAsia="Arial" w:hAnsi="Arial"/>
                  <w:sz w:val="18"/>
                  <w:szCs w:val="18"/>
                  <w:color w:val="0000EE"/>
                  <w:w w:val="84"/>
                </w:rPr>
                <w:t>2002</w:t>
              </w:r>
            </w:hyperlink>
          </w:p>
        </w:tc>
        <w:tc>
          <w:tcPr>
            <w:tcW w:w="9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20" w:type="dxa"/>
            <w:vAlign w:val="bottom"/>
          </w:tcPr>
          <w:p>
            <w:pPr>
              <w:jc w:val="right"/>
              <w:ind w:right="330"/>
              <w:spacing w:after="0"/>
              <w:rPr>
                <w:sz w:val="20"/>
                <w:szCs w:val="20"/>
                <w:color w:val="auto"/>
              </w:rPr>
            </w:pPr>
            <w:r>
              <w:rPr>
                <w:rFonts w:ascii="Arial" w:cs="Arial" w:eastAsia="Arial" w:hAnsi="Arial"/>
                <w:sz w:val="18"/>
                <w:szCs w:val="18"/>
                <w:color w:val="auto"/>
                <w:w w:val="97"/>
              </w:rPr>
              <w:t>32.2**</w:t>
            </w:r>
          </w:p>
        </w:tc>
        <w:tc>
          <w:tcPr>
            <w:tcW w:w="10000" w:type="dxa"/>
            <w:vAlign w:val="bottom"/>
            <w:gridSpan w:val="3"/>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Chief Financial Officer certification pursuant to 18 U.S.C. Section 1350, as adopted pursuant to Section 906 of the Sarbanes-Oxley Act of</w:t>
              </w:r>
            </w:hyperlink>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5">
              <w:r>
                <w:rPr>
                  <w:rFonts w:ascii="Arial" w:cs="Arial" w:eastAsia="Arial" w:hAnsi="Arial"/>
                  <w:sz w:val="18"/>
                  <w:szCs w:val="18"/>
                  <w:color w:val="0000EE"/>
                  <w:w w:val="84"/>
                </w:rPr>
                <w:t>2002</w:t>
              </w:r>
            </w:hyperlink>
          </w:p>
        </w:tc>
        <w:tc>
          <w:tcPr>
            <w:tcW w:w="9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21" w:lineRule="exact"/>
        <w:rPr>
          <w:sz w:val="20"/>
          <w:szCs w:val="20"/>
          <w:color w:val="auto"/>
        </w:rPr>
      </w:pPr>
    </w:p>
    <w:p>
      <w:pPr>
        <w:ind w:left="1040" w:right="380" w:hanging="919"/>
        <w:spacing w:after="0" w:line="291" w:lineRule="auto"/>
        <w:tabs>
          <w:tab w:leader="none" w:pos="10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Annual Report on Form 10-K for the fiscal year ended December 25, 2021, formatted in Inline eXtensible Business Reporting Language (iXBRL): (i) Consolidated Balance Sheets, (ii) Consolidated Statements of Income,</w:t>
      </w:r>
    </w:p>
    <w:p>
      <w:pPr>
        <w:ind w:left="1040" w:right="400" w:firstLine="7"/>
        <w:spacing w:after="0" w:line="290" w:lineRule="auto"/>
        <w:tabs>
          <w:tab w:leader="none" w:pos="13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Consolidated Statements of Comprehensive Income, (iv) Consolidated Statements of Cash Flows, (v) Consolidated Statements of Changes in Equity, (vi) Notes to Consolidated Financial Statements, and (vii) Financial Statement Schedule.</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8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120" w:right="5860" w:hanging="4"/>
        <w:spacing w:after="0" w:line="258" w:lineRule="auto"/>
        <w:tabs>
          <w:tab w:leader="none" w:pos="5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WILL FURNISH, WITHOUT CHARGE, TO ANY SHAREHOLDER OF THE COMPANY WHO SO REQUESTS IN WRITING, A COPY OF ANY EXHIBITS, AS FILED WITH THE SECURITIES AND EXCHANGE COMMISSION. ANY SUCH REQUEST SHOULD BE DIRECTED TO LANDSTAR SYSTEM, INC., ATTENTION: INVESTOR RELATIONS, 13410 SUTTON PARK DRIVE SOUTH, JACKSONVILLE, FLORIDA 32224.</w:t>
      </w:r>
    </w:p>
    <w:p>
      <w:pPr>
        <w:spacing w:after="0" w:line="1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00"/>
          </w:cols>
          <w:pgMar w:left="320" w:top="486" w:right="8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February 18, 2022</w:t>
            </w: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LANDSTAR SYSTEM, INC.</w:t>
            </w:r>
          </w:p>
        </w:tc>
      </w:tr>
      <w:tr>
        <w:trPr>
          <w:trHeight w:val="432"/>
        </w:trPr>
        <w:tc>
          <w:tcPr>
            <w:tcW w:w="3700" w:type="dxa"/>
            <w:vAlign w:val="bottom"/>
          </w:tcPr>
          <w:p>
            <w:pPr>
              <w:spacing w:after="0"/>
              <w:rPr>
                <w:sz w:val="24"/>
                <w:szCs w:val="24"/>
                <w:color w:val="auto"/>
              </w:rPr>
            </w:pPr>
          </w:p>
        </w:tc>
        <w:tc>
          <w:tcPr>
            <w:tcW w:w="2360" w:type="dxa"/>
            <w:vAlign w:val="bottom"/>
          </w:tcPr>
          <w:p>
            <w:pPr>
              <w:ind w:left="19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B. GATTONI</w:t>
            </w:r>
          </w:p>
        </w:tc>
      </w:tr>
      <w:tr>
        <w:trPr>
          <w:trHeight w:val="209"/>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James B. Gattoni</w:t>
            </w:r>
          </w:p>
        </w:tc>
      </w:t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432"/>
        </w:trPr>
        <w:tc>
          <w:tcPr>
            <w:tcW w:w="3700" w:type="dxa"/>
            <w:vAlign w:val="bottom"/>
          </w:tcPr>
          <w:p>
            <w:pPr>
              <w:spacing w:after="0"/>
              <w:rPr>
                <w:sz w:val="24"/>
                <w:szCs w:val="24"/>
                <w:color w:val="auto"/>
              </w:rPr>
            </w:pPr>
          </w:p>
        </w:tc>
        <w:tc>
          <w:tcPr>
            <w:tcW w:w="2360" w:type="dxa"/>
            <w:vAlign w:val="bottom"/>
          </w:tcPr>
          <w:p>
            <w:pPr>
              <w:ind w:left="19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FEDERICO L. PENSOTTI</w:t>
            </w:r>
          </w:p>
        </w:tc>
      </w:tr>
      <w:tr>
        <w:trPr>
          <w:trHeight w:val="224"/>
        </w:trPr>
        <w:tc>
          <w:tcPr>
            <w:tcW w:w="3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Federico L. Pensotti</w:t>
            </w:r>
          </w:p>
        </w:tc>
      </w:tr>
    </w:tbl>
    <w:p>
      <w:pPr>
        <w:ind w:left="712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21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04"/>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5"/>
              </w:rPr>
              <w:t>/s/ JAMES B. GATTONI</w:t>
            </w:r>
          </w:p>
        </w:tc>
        <w:tc>
          <w:tcPr>
            <w:tcW w:w="120" w:type="dxa"/>
            <w:vAlign w:val="bottom"/>
          </w:tcPr>
          <w:p>
            <w:pPr>
              <w:spacing w:after="0"/>
              <w:rPr>
                <w:sz w:val="24"/>
                <w:szCs w:val="24"/>
                <w:color w:val="auto"/>
              </w:rPr>
            </w:pPr>
          </w:p>
        </w:tc>
        <w:tc>
          <w:tcPr>
            <w:tcW w:w="36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President and Chief Executive Officer; Principal</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360" w:type="dxa"/>
            <w:vAlign w:val="bottom"/>
          </w:tcPr>
          <w:p>
            <w:pPr>
              <w:spacing w:after="0"/>
              <w:rPr>
                <w:sz w:val="19"/>
                <w:szCs w:val="19"/>
                <w:color w:val="auto"/>
              </w:rPr>
            </w:pPr>
          </w:p>
        </w:tc>
        <w:tc>
          <w:tcPr>
            <w:tcW w:w="3500" w:type="dxa"/>
            <w:vAlign w:val="bottom"/>
          </w:tcPr>
          <w:p>
            <w:pPr>
              <w:jc w:val="center"/>
              <w:ind w:right="291"/>
              <w:spacing w:after="0"/>
              <w:rPr>
                <w:sz w:val="20"/>
                <w:szCs w:val="20"/>
                <w:color w:val="auto"/>
              </w:rPr>
            </w:pPr>
            <w:r>
              <w:rPr>
                <w:rFonts w:ascii="Arial" w:cs="Arial" w:eastAsia="Arial" w:hAnsi="Arial"/>
                <w:sz w:val="18"/>
                <w:szCs w:val="18"/>
                <w:color w:val="auto"/>
                <w:w w:val="89"/>
              </w:rPr>
              <w:t>James B. Gattoni</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Executive Officer; Director</w:t>
            </w:r>
          </w:p>
        </w:tc>
        <w:tc>
          <w:tcPr>
            <w:tcW w:w="3420" w:type="dxa"/>
            <w:vAlign w:val="bottom"/>
          </w:tcPr>
          <w:p>
            <w:pPr>
              <w:spacing w:after="0"/>
              <w:rPr>
                <w:sz w:val="19"/>
                <w:szCs w:val="19"/>
                <w:color w:val="auto"/>
              </w:rPr>
            </w:pPr>
          </w:p>
        </w:tc>
      </w:tr>
      <w:tr>
        <w:trPr>
          <w:trHeight w:val="323"/>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3"/>
              </w:rPr>
              <w:t>/s/ FEDERICO L. PENSOTTI</w:t>
            </w:r>
          </w:p>
        </w:tc>
        <w:tc>
          <w:tcPr>
            <w:tcW w:w="120" w:type="dxa"/>
            <w:vAlign w:val="bottom"/>
          </w:tcPr>
          <w:p>
            <w:pPr>
              <w:spacing w:after="0"/>
              <w:rPr>
                <w:sz w:val="24"/>
                <w:szCs w:val="24"/>
                <w:color w:val="auto"/>
              </w:rPr>
            </w:pPr>
          </w:p>
        </w:tc>
        <w:tc>
          <w:tcPr>
            <w:tcW w:w="36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Vice President and Chief Financial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182"/>
        </w:trPr>
        <w:tc>
          <w:tcPr>
            <w:tcW w:w="360" w:type="dxa"/>
            <w:vAlign w:val="bottom"/>
          </w:tcPr>
          <w:p>
            <w:pPr>
              <w:spacing w:after="0"/>
              <w:rPr>
                <w:sz w:val="15"/>
                <w:szCs w:val="15"/>
                <w:color w:val="auto"/>
              </w:rPr>
            </w:pPr>
          </w:p>
        </w:tc>
        <w:tc>
          <w:tcPr>
            <w:tcW w:w="3500" w:type="dxa"/>
            <w:vAlign w:val="bottom"/>
          </w:tcPr>
          <w:p>
            <w:pPr>
              <w:jc w:val="center"/>
              <w:ind w:right="271"/>
              <w:spacing w:after="0" w:line="182" w:lineRule="exact"/>
              <w:rPr>
                <w:sz w:val="20"/>
                <w:szCs w:val="20"/>
                <w:color w:val="auto"/>
              </w:rPr>
            </w:pPr>
            <w:r>
              <w:rPr>
                <w:rFonts w:ascii="Arial" w:cs="Arial" w:eastAsia="Arial" w:hAnsi="Arial"/>
                <w:sz w:val="18"/>
                <w:szCs w:val="18"/>
                <w:color w:val="auto"/>
                <w:w w:val="91"/>
              </w:rPr>
              <w:t>Federico L. Pensotti</w:t>
            </w:r>
          </w:p>
        </w:tc>
        <w:tc>
          <w:tcPr>
            <w:tcW w:w="120" w:type="dxa"/>
            <w:vAlign w:val="bottom"/>
          </w:tcPr>
          <w:p>
            <w:pPr>
              <w:spacing w:after="0"/>
              <w:rPr>
                <w:sz w:val="15"/>
                <w:szCs w:val="15"/>
                <w:color w:val="auto"/>
              </w:rPr>
            </w:pPr>
          </w:p>
        </w:tc>
        <w:tc>
          <w:tcPr>
            <w:tcW w:w="3620" w:type="dxa"/>
            <w:vAlign w:val="bottom"/>
            <w:gridSpan w:val="3"/>
          </w:tcPr>
          <w:p>
            <w:pPr>
              <w:jc w:val="center"/>
              <w:ind w:right="100"/>
              <w:spacing w:after="0" w:line="182" w:lineRule="exact"/>
              <w:rPr>
                <w:sz w:val="20"/>
                <w:szCs w:val="20"/>
                <w:color w:val="auto"/>
              </w:rPr>
            </w:pPr>
            <w:r>
              <w:rPr>
                <w:rFonts w:ascii="Arial" w:cs="Arial" w:eastAsia="Arial" w:hAnsi="Arial"/>
                <w:sz w:val="18"/>
                <w:szCs w:val="18"/>
                <w:color w:val="auto"/>
                <w:w w:val="93"/>
              </w:rPr>
              <w:t>Principal Financial Officer and Principal</w:t>
            </w:r>
          </w:p>
        </w:tc>
        <w:tc>
          <w:tcPr>
            <w:tcW w:w="3420" w:type="dxa"/>
            <w:vAlign w:val="bottom"/>
          </w:tcPr>
          <w:p>
            <w:pPr>
              <w:spacing w:after="0"/>
              <w:rPr>
                <w:sz w:val="15"/>
                <w:szCs w:val="15"/>
                <w:color w:val="auto"/>
              </w:rPr>
            </w:pPr>
          </w:p>
        </w:tc>
      </w:tr>
      <w:tr>
        <w:trPr>
          <w:trHeight w:val="230"/>
        </w:trPr>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Accounting Officer</w:t>
            </w:r>
          </w:p>
        </w:tc>
        <w:tc>
          <w:tcPr>
            <w:tcW w:w="3420" w:type="dxa"/>
            <w:vAlign w:val="bottom"/>
          </w:tcPr>
          <w:p>
            <w:pPr>
              <w:spacing w:after="0"/>
              <w:rPr>
                <w:sz w:val="20"/>
                <w:szCs w:val="20"/>
                <w:color w:val="auto"/>
              </w:rPr>
            </w:pPr>
          </w:p>
        </w:tc>
      </w:tr>
      <w:tr>
        <w:trPr>
          <w:trHeight w:val="324"/>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360" w:type="dxa"/>
            <w:vAlign w:val="bottom"/>
          </w:tcPr>
          <w:p>
            <w:pPr>
              <w:spacing w:after="0"/>
              <w:rPr>
                <w:sz w:val="19"/>
                <w:szCs w:val="19"/>
                <w:color w:val="auto"/>
              </w:rPr>
            </w:pPr>
          </w:p>
        </w:tc>
        <w:tc>
          <w:tcPr>
            <w:tcW w:w="3500" w:type="dxa"/>
            <w:vAlign w:val="bottom"/>
          </w:tcPr>
          <w:p>
            <w:pPr>
              <w:jc w:val="center"/>
              <w:ind w:right="271"/>
              <w:spacing w:after="0"/>
              <w:rPr>
                <w:sz w:val="20"/>
                <w:szCs w:val="20"/>
                <w:color w:val="auto"/>
              </w:rPr>
            </w:pPr>
            <w:r>
              <w:rPr>
                <w:rFonts w:ascii="Arial" w:cs="Arial" w:eastAsia="Arial" w:hAnsi="Arial"/>
                <w:sz w:val="18"/>
                <w:szCs w:val="18"/>
                <w:color w:val="auto"/>
                <w:w w:val="95"/>
              </w:rPr>
              <w:t>Homaira Akbari</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360" w:type="dxa"/>
            <w:vAlign w:val="bottom"/>
          </w:tcPr>
          <w:p>
            <w:pPr>
              <w:spacing w:after="0"/>
              <w:rPr>
                <w:sz w:val="19"/>
                <w:szCs w:val="19"/>
                <w:color w:val="auto"/>
              </w:rPr>
            </w:pPr>
          </w:p>
        </w:tc>
        <w:tc>
          <w:tcPr>
            <w:tcW w:w="3500" w:type="dxa"/>
            <w:vAlign w:val="bottom"/>
          </w:tcPr>
          <w:p>
            <w:pPr>
              <w:jc w:val="center"/>
              <w:ind w:right="291"/>
              <w:spacing w:after="0"/>
              <w:rPr>
                <w:sz w:val="20"/>
                <w:szCs w:val="20"/>
                <w:color w:val="auto"/>
              </w:rPr>
            </w:pPr>
            <w:r>
              <w:rPr>
                <w:rFonts w:ascii="Arial" w:cs="Arial" w:eastAsia="Arial" w:hAnsi="Arial"/>
                <w:sz w:val="18"/>
                <w:szCs w:val="18"/>
                <w:color w:val="auto"/>
                <w:w w:val="92"/>
              </w:rPr>
              <w:t>David G. Bannister</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Chairman of the Board</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360" w:type="dxa"/>
            <w:vAlign w:val="bottom"/>
          </w:tcPr>
          <w:p>
            <w:pPr>
              <w:spacing w:after="0"/>
              <w:rPr>
                <w:sz w:val="19"/>
                <w:szCs w:val="19"/>
                <w:color w:val="auto"/>
              </w:rPr>
            </w:pPr>
          </w:p>
        </w:tc>
        <w:tc>
          <w:tcPr>
            <w:tcW w:w="3500" w:type="dxa"/>
            <w:vAlign w:val="bottom"/>
          </w:tcPr>
          <w:p>
            <w:pPr>
              <w:jc w:val="center"/>
              <w:ind w:right="271"/>
              <w:spacing w:after="0"/>
              <w:rPr>
                <w:sz w:val="20"/>
                <w:szCs w:val="20"/>
                <w:color w:val="auto"/>
              </w:rPr>
            </w:pPr>
            <w:r>
              <w:rPr>
                <w:rFonts w:ascii="Arial" w:cs="Arial" w:eastAsia="Arial" w:hAnsi="Arial"/>
                <w:sz w:val="18"/>
                <w:szCs w:val="18"/>
                <w:color w:val="auto"/>
                <w:w w:val="94"/>
              </w:rPr>
              <w:t>Diana M. Murphy</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360" w:type="dxa"/>
            <w:vAlign w:val="bottom"/>
          </w:tcPr>
          <w:p>
            <w:pPr>
              <w:spacing w:after="0"/>
              <w:rPr>
                <w:sz w:val="19"/>
                <w:szCs w:val="19"/>
                <w:color w:val="auto"/>
              </w:rPr>
            </w:pPr>
          </w:p>
        </w:tc>
        <w:tc>
          <w:tcPr>
            <w:tcW w:w="3500" w:type="dxa"/>
            <w:vAlign w:val="bottom"/>
          </w:tcPr>
          <w:p>
            <w:pPr>
              <w:jc w:val="center"/>
              <w:ind w:right="271"/>
              <w:spacing w:after="0"/>
              <w:rPr>
                <w:sz w:val="20"/>
                <w:szCs w:val="20"/>
                <w:color w:val="auto"/>
              </w:rPr>
            </w:pPr>
            <w:r>
              <w:rPr>
                <w:rFonts w:ascii="Arial" w:cs="Arial" w:eastAsia="Arial" w:hAnsi="Arial"/>
                <w:sz w:val="18"/>
                <w:szCs w:val="18"/>
                <w:color w:val="auto"/>
                <w:w w:val="92"/>
              </w:rPr>
              <w:t>Anthony J. Orlando</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360" w:type="dxa"/>
            <w:vAlign w:val="bottom"/>
          </w:tcPr>
          <w:p>
            <w:pPr>
              <w:spacing w:after="0"/>
              <w:rPr>
                <w:sz w:val="19"/>
                <w:szCs w:val="19"/>
                <w:color w:val="auto"/>
              </w:rPr>
            </w:pPr>
          </w:p>
        </w:tc>
        <w:tc>
          <w:tcPr>
            <w:tcW w:w="3500" w:type="dxa"/>
            <w:vAlign w:val="bottom"/>
          </w:tcPr>
          <w:p>
            <w:pPr>
              <w:jc w:val="center"/>
              <w:ind w:right="291"/>
              <w:spacing w:after="0"/>
              <w:rPr>
                <w:sz w:val="20"/>
                <w:szCs w:val="20"/>
                <w:color w:val="auto"/>
              </w:rPr>
            </w:pPr>
            <w:r>
              <w:rPr>
                <w:rFonts w:ascii="Arial" w:cs="Arial" w:eastAsia="Arial" w:hAnsi="Arial"/>
                <w:sz w:val="18"/>
                <w:szCs w:val="18"/>
                <w:color w:val="auto"/>
                <w:w w:val="86"/>
              </w:rPr>
              <w:t>George P. Scanlon</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360" w:type="dxa"/>
            <w:vAlign w:val="bottom"/>
          </w:tcPr>
          <w:p>
            <w:pPr>
              <w:spacing w:after="0"/>
              <w:rPr>
                <w:sz w:val="19"/>
                <w:szCs w:val="19"/>
                <w:color w:val="auto"/>
              </w:rPr>
            </w:pPr>
          </w:p>
        </w:tc>
        <w:tc>
          <w:tcPr>
            <w:tcW w:w="3500" w:type="dxa"/>
            <w:vAlign w:val="bottom"/>
          </w:tcPr>
          <w:p>
            <w:pPr>
              <w:jc w:val="center"/>
              <w:ind w:right="271"/>
              <w:spacing w:after="0"/>
              <w:rPr>
                <w:sz w:val="20"/>
                <w:szCs w:val="20"/>
                <w:color w:val="auto"/>
              </w:rPr>
            </w:pPr>
            <w:r>
              <w:rPr>
                <w:rFonts w:ascii="Arial" w:cs="Arial" w:eastAsia="Arial" w:hAnsi="Arial"/>
                <w:sz w:val="18"/>
                <w:szCs w:val="18"/>
                <w:color w:val="auto"/>
                <w:w w:val="91"/>
              </w:rPr>
              <w:t>Larry J. Thoele</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jc w:val="center"/>
              <w:ind w:left="451"/>
              <w:spacing w:after="0"/>
              <w:rPr>
                <w:sz w:val="20"/>
                <w:szCs w:val="20"/>
                <w:color w:val="auto"/>
              </w:rPr>
            </w:pPr>
            <w:r>
              <w:rPr>
                <w:rFonts w:ascii="Arial" w:cs="Arial" w:eastAsia="Arial" w:hAnsi="Arial"/>
                <w:sz w:val="18"/>
                <w:szCs w:val="18"/>
                <w:color w:val="auto"/>
                <w:w w:val="99"/>
              </w:rPr>
              <w:t>/s/ MICHAEL K. KNELLER</w:t>
            </w: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9"/>
        </w:trPr>
        <w:tc>
          <w:tcPr>
            <w:tcW w:w="360" w:type="dxa"/>
            <w:vAlign w:val="bottom"/>
          </w:tcPr>
          <w:p>
            <w:pPr>
              <w:spacing w:after="0"/>
              <w:rPr>
                <w:sz w:val="18"/>
                <w:szCs w:val="18"/>
                <w:color w:val="auto"/>
              </w:rPr>
            </w:pPr>
          </w:p>
        </w:tc>
        <w:tc>
          <w:tcPr>
            <w:tcW w:w="3500" w:type="dxa"/>
            <w:vAlign w:val="bottom"/>
          </w:tcPr>
          <w:p>
            <w:pPr>
              <w:jc w:val="center"/>
              <w:ind w:left="451"/>
              <w:spacing w:after="0"/>
              <w:rPr>
                <w:sz w:val="20"/>
                <w:szCs w:val="20"/>
                <w:color w:val="auto"/>
              </w:rPr>
            </w:pPr>
            <w:r>
              <w:rPr>
                <w:rFonts w:ascii="Arial" w:cs="Arial" w:eastAsia="Arial" w:hAnsi="Arial"/>
                <w:sz w:val="18"/>
                <w:szCs w:val="18"/>
                <w:color w:val="auto"/>
                <w:w w:val="96"/>
              </w:rPr>
              <w:t>Michael K. Kneller</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3500" w:type="dxa"/>
            <w:vAlign w:val="bottom"/>
          </w:tcPr>
          <w:p>
            <w:pPr>
              <w:jc w:val="center"/>
              <w:ind w:left="451"/>
              <w:spacing w:after="0"/>
              <w:rPr>
                <w:sz w:val="20"/>
                <w:szCs w:val="20"/>
                <w:color w:val="auto"/>
              </w:rPr>
            </w:pPr>
            <w:r>
              <w:rPr>
                <w:rFonts w:ascii="Arial" w:cs="Arial" w:eastAsia="Arial" w:hAnsi="Arial"/>
                <w:sz w:val="18"/>
                <w:szCs w:val="18"/>
                <w:i w:val="1"/>
                <w:iCs w:val="1"/>
                <w:color w:val="auto"/>
                <w:w w:val="95"/>
              </w:rPr>
              <w:t>Attorney In Fact*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65"/>
        </w:trPr>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40" w:type="dxa"/>
            <w:vAlign w:val="bottom"/>
            <w:gridSpan w:val="3"/>
          </w:tcPr>
          <w:p>
            <w:pPr>
              <w:jc w:val="right"/>
              <w:ind w:right="18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w w:val="93"/>
              </w:rPr>
              <w:t>Exhibit 21.1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780" w:type="dxa"/>
            <w:vAlign w:val="bottom"/>
          </w:tcPr>
          <w:p>
            <w:pPr>
              <w:ind w:left="2980"/>
              <w:spacing w:after="0"/>
              <w:rPr>
                <w:sz w:val="20"/>
                <w:szCs w:val="20"/>
                <w:color w:val="auto"/>
              </w:rPr>
            </w:pPr>
            <w:r>
              <w:rPr>
                <w:rFonts w:ascii="Arial" w:cs="Arial" w:eastAsia="Arial" w:hAnsi="Arial"/>
                <w:sz w:val="18"/>
                <w:szCs w:val="18"/>
                <w:color w:val="auto"/>
              </w:rPr>
              <w:t>LIST OF SUBSIDIARIES OF LANDSTAR SYSTEM, INC.</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780" w:type="dxa"/>
            <w:vAlign w:val="bottom"/>
          </w:tcPr>
          <w:p>
            <w:pPr>
              <w:ind w:left="4200"/>
              <w:spacing w:after="0"/>
              <w:rPr>
                <w:sz w:val="20"/>
                <w:szCs w:val="20"/>
                <w:color w:val="auto"/>
              </w:rPr>
            </w:pPr>
            <w:r>
              <w:rPr>
                <w:rFonts w:ascii="Arial" w:cs="Arial" w:eastAsia="Arial" w:hAnsi="Arial"/>
                <w:sz w:val="18"/>
                <w:szCs w:val="18"/>
                <w:color w:val="auto"/>
              </w:rPr>
              <w:t>(as of December 25, 2021)</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vMerge w:val="restart"/>
          </w:tcPr>
          <w:p>
            <w:pPr>
              <w:spacing w:after="0"/>
              <w:rPr>
                <w:sz w:val="20"/>
                <w:szCs w:val="20"/>
                <w:color w:val="auto"/>
              </w:rPr>
            </w:pPr>
            <w:r>
              <w:rPr>
                <w:rFonts w:ascii="Arial" w:cs="Arial" w:eastAsia="Arial" w:hAnsi="Arial"/>
                <w:sz w:val="14"/>
                <w:szCs w:val="14"/>
                <w:color w:val="auto"/>
                <w:w w:val="85"/>
              </w:rPr>
              <w:t>Name</w:t>
            </w:r>
          </w:p>
        </w:tc>
        <w:tc>
          <w:tcPr>
            <w:tcW w:w="7780" w:type="dxa"/>
            <w:vAlign w:val="bottom"/>
            <w:vMerge w:val="restart"/>
          </w:tcPr>
          <w:p>
            <w:pPr>
              <w:spacing w:after="0"/>
              <w:rPr>
                <w:sz w:val="24"/>
                <w:szCs w:val="24"/>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color w:val="auto"/>
              </w:rPr>
              <w:t>Jurisdiction of</w:t>
            </w: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 of Voting</w:t>
            </w:r>
          </w:p>
        </w:tc>
        <w:tc>
          <w:tcPr>
            <w:tcW w:w="0" w:type="dxa"/>
            <w:vAlign w:val="bottom"/>
          </w:tcPr>
          <w:p>
            <w:pPr>
              <w:spacing w:after="0"/>
              <w:rPr>
                <w:sz w:val="1"/>
                <w:szCs w:val="1"/>
                <w:color w:val="auto"/>
              </w:rPr>
            </w:pPr>
          </w:p>
        </w:tc>
      </w:tr>
      <w:tr>
        <w:trPr>
          <w:trHeight w:val="174"/>
        </w:trPr>
        <w:tc>
          <w:tcPr>
            <w:tcW w:w="340" w:type="dxa"/>
            <w:vAlign w:val="bottom"/>
            <w:tcBorders>
              <w:bottom w:val="single" w:sz="8" w:color="auto"/>
            </w:tcBorders>
            <w:vMerge w:val="continue"/>
          </w:tcPr>
          <w:p>
            <w:pPr>
              <w:spacing w:after="0"/>
              <w:rPr>
                <w:sz w:val="15"/>
                <w:szCs w:val="15"/>
                <w:color w:val="auto"/>
              </w:rPr>
            </w:pPr>
          </w:p>
        </w:tc>
        <w:tc>
          <w:tcPr>
            <w:tcW w:w="7780" w:type="dxa"/>
            <w:vAlign w:val="bottom"/>
            <w:vMerge w:val="continue"/>
          </w:tcPr>
          <w:p>
            <w:pPr>
              <w:spacing w:after="0"/>
              <w:rPr>
                <w:sz w:val="15"/>
                <w:szCs w:val="15"/>
                <w:color w:val="auto"/>
              </w:rPr>
            </w:pPr>
          </w:p>
        </w:tc>
        <w:tc>
          <w:tcPr>
            <w:tcW w:w="1820" w:type="dxa"/>
            <w:vAlign w:val="bottom"/>
            <w:gridSpan w:val="2"/>
          </w:tcPr>
          <w:p>
            <w:pPr>
              <w:ind w:left="240"/>
              <w:spacing w:after="0" w:line="154" w:lineRule="exact"/>
              <w:rPr>
                <w:sz w:val="20"/>
                <w:szCs w:val="20"/>
                <w:color w:val="auto"/>
              </w:rPr>
            </w:pPr>
            <w:r>
              <w:rPr>
                <w:rFonts w:ascii="Arial" w:cs="Arial" w:eastAsia="Arial" w:hAnsi="Arial"/>
                <w:sz w:val="14"/>
                <w:szCs w:val="14"/>
                <w:color w:val="auto"/>
              </w:rPr>
              <w:t>Incorporation</w:t>
            </w:r>
          </w:p>
        </w:tc>
        <w:tc>
          <w:tcPr>
            <w:tcW w:w="1080" w:type="dxa"/>
            <w:vAlign w:val="bottom"/>
            <w:gridSpan w:val="2"/>
          </w:tcPr>
          <w:p>
            <w:pPr>
              <w:spacing w:after="0" w:line="154" w:lineRule="exact"/>
              <w:rPr>
                <w:sz w:val="20"/>
                <w:szCs w:val="20"/>
                <w:color w:val="auto"/>
              </w:rPr>
            </w:pPr>
            <w:r>
              <w:rPr>
                <w:rFonts w:ascii="Arial" w:cs="Arial" w:eastAsia="Arial" w:hAnsi="Arial"/>
                <w:sz w:val="14"/>
                <w:szCs w:val="14"/>
                <w:color w:val="auto"/>
                <w:w w:val="96"/>
              </w:rPr>
              <w:t>Securities Owned</w:t>
            </w:r>
          </w:p>
        </w:tc>
        <w:tc>
          <w:tcPr>
            <w:tcW w:w="0" w:type="dxa"/>
            <w:vAlign w:val="bottom"/>
          </w:tcPr>
          <w:p>
            <w:pPr>
              <w:spacing w:after="0"/>
              <w:rPr>
                <w:sz w:val="1"/>
                <w:szCs w:val="1"/>
                <w:color w:val="auto"/>
              </w:rPr>
            </w:pPr>
          </w:p>
        </w:tc>
      </w:tr>
      <w:tr>
        <w:trPr>
          <w:trHeight w:val="189"/>
        </w:trPr>
        <w:tc>
          <w:tcPr>
            <w:tcW w:w="8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Subsidiary of Landstar System, Inc.</w:t>
            </w: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Landstar System Holdings, Inc.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Subsidiaries of Landstar System Holdings, Inc.</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Landstar Inway, Inc.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Global Logistics, Inc.</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Landstar Ligon, Inc.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Ranger, Inc.</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Risk Management Claim Services, Inc.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Transportation Logistics, Inc.</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Also d/b/a Landstar Carrier Services, Inc.</w:t>
            </w: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Contractor Financing, Inc.</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780" w:type="dxa"/>
            <w:vAlign w:val="bottom"/>
          </w:tcPr>
          <w:p>
            <w:pPr>
              <w:ind w:left="20"/>
              <w:spacing w:after="0" w:line="201" w:lineRule="exact"/>
              <w:rPr>
                <w:sz w:val="20"/>
                <w:szCs w:val="20"/>
                <w:color w:val="auto"/>
              </w:rPr>
            </w:pPr>
            <w:r>
              <w:rPr>
                <w:rFonts w:ascii="Arial" w:cs="Arial" w:eastAsia="Arial" w:hAnsi="Arial"/>
                <w:sz w:val="18"/>
                <w:szCs w:val="18"/>
                <w:color w:val="auto"/>
              </w:rPr>
              <w:t>Signature Insurance Company</w:t>
            </w:r>
          </w:p>
        </w:tc>
        <w:tc>
          <w:tcPr>
            <w:tcW w:w="1820" w:type="dxa"/>
            <w:vAlign w:val="bottom"/>
            <w:gridSpan w:val="2"/>
          </w:tcPr>
          <w:p>
            <w:pPr>
              <w:jc w:val="center"/>
              <w:ind w:right="500"/>
              <w:spacing w:after="0" w:line="201" w:lineRule="exact"/>
              <w:rPr>
                <w:sz w:val="20"/>
                <w:szCs w:val="20"/>
                <w:color w:val="auto"/>
              </w:rPr>
            </w:pPr>
            <w:r>
              <w:rPr>
                <w:rFonts w:ascii="Arial" w:cs="Arial" w:eastAsia="Arial" w:hAnsi="Arial"/>
                <w:sz w:val="18"/>
                <w:szCs w:val="18"/>
                <w:color w:val="auto"/>
                <w:w w:val="89"/>
              </w:rPr>
              <w:t>Cayman Islands,</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rPr>
              <w:t>BWI</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Canada Holdings, Inc.</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Landstar MH I LLC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Blue LLC</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Subsidiary of Landstar Canada Holdings, Inc.</w:t>
            </w: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Canada, Inc.</w:t>
            </w: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9"/>
              </w:rPr>
              <w:t>Ontario, Canada</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Also d/b/a Enterprise Landstar Canada in Quebec</w:t>
            </w: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 of Landstar Global Logistics, Inc.</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Landstar Express America, Inc.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 of Landstar Ranger, Inc.</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Landstar Gemini, Inc.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Also d/b/a Landstar Less Than Truck Load</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Also d/b/a Landstar LTL</w:t>
            </w: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 of Landstar MH I LLC</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Landstar MH II LLC</w:t>
            </w: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Delaware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Holdings, S. de R.L.C.V.</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8"/>
              </w:rPr>
              <w:t>Mexico</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Subsidiary of Landstar MH II LLC</w:t>
            </w: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Holdings, S. de R.L.C.V.</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8"/>
              </w:rPr>
              <w:t>Mexico</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Subsidiary of Landstar Holdings, S. de R.L.C.V.</w:t>
            </w: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Landstar Metro, S.A.P.I. de C.V.</w:t>
            </w:r>
          </w:p>
        </w:tc>
        <w:tc>
          <w:tcPr>
            <w:tcW w:w="18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8"/>
              </w:rPr>
              <w:t>Mexico</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5"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 333-190411, No. 333-68454, No. 333-68452, and No. 333-175890) on Form S-8 of our reports dated February 18, 2022, with respect to the consolidated financial statements of Landstar System, Inc. and the effectiveness of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020"/>
          </w:cols>
          <w:pgMar w:left="440" w:top="125"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24.1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ended 12/25/21</w:t>
      </w:r>
    </w:p>
    <w:p>
      <w:pPr>
        <w:spacing w:after="0" w:line="21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KNOW ALL MEN BY THESE PRESENTS, that the undersigned does hereby make, constitute and appoint Federico L. Pensotti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25, 2021,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set her hand on the date indicated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Homaira Akbari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Homaira Akbari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2022</w:t>
      </w:r>
    </w:p>
    <w:p>
      <w:pPr>
        <w:sectPr>
          <w:pgSz w:w="11900" w:h="16838" w:orient="portrait"/>
          <w:cols w:equalWidth="0" w:num="1">
            <w:col w:w="11020"/>
          </w:cols>
          <w:pgMar w:left="440" w:top="125"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ended 12/25/21</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KNOW ALL MEN BY THESE PRESENTS, that the undersigned does hereby make, constitute and appoint Federico L. Pensotti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25, 2021,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G. Bannister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G. Bannister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2022</w:t>
      </w:r>
    </w:p>
    <w:p>
      <w:pPr>
        <w:sectPr>
          <w:pgSz w:w="11900" w:h="16838" w:orient="portrait"/>
          <w:cols w:equalWidth="0" w:num="1">
            <w:col w:w="10940"/>
          </w:cols>
          <w:pgMar w:left="440" w:top="274" w:right="5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ended 12/25/21</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KNOW ALL MEN BY THESE PRESENTS, that the undersigned does hereby make, constitute and appoint Federico L. Pensotti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25, 2021,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set her hand on the date indicated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Diana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Diana M. Murphy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2022</w:t>
      </w:r>
    </w:p>
    <w:p>
      <w:pPr>
        <w:sectPr>
          <w:pgSz w:w="11900" w:h="16838" w:orient="portrait"/>
          <w:cols w:equalWidth="0" w:num="1">
            <w:col w:w="10980"/>
          </w:cols>
          <w:pgMar w:left="440" w:top="274" w:right="47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ended 12/25/21</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KNOW ALL MEN BY THESE PRESENTS, that the undersigned does hereby make, constitute and appoint Federico L. Pensotti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25, 2021,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Anthony J.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Anthony J. Orlando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2022</w:t>
      </w:r>
    </w:p>
    <w:p>
      <w:pPr>
        <w:sectPr>
          <w:pgSz w:w="11900" w:h="16838" w:orient="portrait"/>
          <w:cols w:equalWidth="0" w:num="1">
            <w:col w:w="10940"/>
          </w:cols>
          <w:pgMar w:left="440" w:top="274" w:right="5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ended 12/25/21</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KNOW ALL MEN BY THESE PRESENTS, that the undersigned does hereby make, constitute and appoint Federico L. Pensotti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25, 2021,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P. Scanlon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2022</w:t>
      </w:r>
    </w:p>
    <w:p>
      <w:pPr>
        <w:sectPr>
          <w:pgSz w:w="11900" w:h="16838" w:orient="portrait"/>
          <w:cols w:equalWidth="0" w:num="1">
            <w:col w:w="10940"/>
          </w:cols>
          <w:pgMar w:left="440" w:top="274" w:right="5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Landstar System,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ended 12/25/21</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KNOW ALL MEN BY THESE PRESENTS, that the undersigned does hereby make, constitute and appoint Federico L. Pensotti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25, 2021,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Larry J. Thoele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Larry J. Thoele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19, 2022</w:t>
      </w:r>
    </w:p>
    <w:p>
      <w:pPr>
        <w:sectPr>
          <w:pgSz w:w="11900" w:h="16838" w:orient="portrait"/>
          <w:cols w:equalWidth="0" w:num="1">
            <w:col w:w="10940"/>
          </w:cols>
          <w:pgMar w:left="440" w:top="274" w:right="5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James B. Gattoni, certify that:</w:t>
      </w:r>
    </w:p>
    <w:p>
      <w:pPr>
        <w:spacing w:after="0" w:line="252" w:lineRule="exact"/>
        <w:rPr>
          <w:sz w:val="20"/>
          <w:szCs w:val="20"/>
          <w:color w:val="auto"/>
        </w:rPr>
      </w:pPr>
    </w:p>
    <w:p>
      <w:pPr>
        <w:ind w:left="224" w:hanging="224"/>
        <w:spacing w:after="0"/>
        <w:tabs>
          <w:tab w:leader="none" w:pos="2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Landstar System, Inc.;</w:t>
      </w:r>
    </w:p>
    <w:p>
      <w:pPr>
        <w:spacing w:after="0" w:line="225" w:lineRule="exact"/>
        <w:rPr>
          <w:rFonts w:ascii="Arial" w:cs="Arial" w:eastAsia="Arial" w:hAnsi="Arial"/>
          <w:sz w:val="18"/>
          <w:szCs w:val="18"/>
          <w:color w:val="auto"/>
        </w:rPr>
      </w:pPr>
    </w:p>
    <w:p>
      <w:pPr>
        <w:ind w:left="4" w:right="60" w:hanging="4"/>
        <w:spacing w:after="0" w:line="342" w:lineRule="auto"/>
        <w:tabs>
          <w:tab w:leader="none" w:pos="184"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 w:right="340" w:hanging="4"/>
        <w:spacing w:after="0" w:line="308" w:lineRule="auto"/>
        <w:tabs>
          <w:tab w:leader="none" w:pos="18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 w:right="20" w:hanging="4"/>
        <w:spacing w:after="0" w:line="263" w:lineRule="auto"/>
        <w:tabs>
          <w:tab w:leader="none" w:pos="1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4" w:right="120" w:hanging="4"/>
        <w:spacing w:after="0" w:line="263" w:lineRule="auto"/>
        <w:tabs>
          <w:tab w:leader="none" w:pos="1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 w:right="100" w:hanging="4"/>
        <w:spacing w:after="0" w:line="263" w:lineRule="auto"/>
        <w:tabs>
          <w:tab w:leader="none" w:pos="1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 w:right="160" w:hanging="4"/>
        <w:spacing w:after="0" w:line="308" w:lineRule="auto"/>
        <w:tabs>
          <w:tab w:leader="none" w:pos="189" w:val="left"/>
        </w:tabs>
        <w:numPr>
          <w:ilvl w:val="0"/>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 w:right="180" w:hanging="4"/>
        <w:spacing w:after="0" w:line="263" w:lineRule="auto"/>
        <w:tabs>
          <w:tab w:leader="none" w:pos="1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4" w:right="200" w:hanging="4"/>
        <w:spacing w:after="0" w:line="308" w:lineRule="auto"/>
        <w:tabs>
          <w:tab w:leader="none" w:pos="18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4" w:right="80" w:hanging="4"/>
        <w:spacing w:after="0" w:line="277" w:lineRule="auto"/>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 w:right="120" w:hanging="4"/>
        <w:spacing w:after="0" w:line="277" w:lineRule="auto"/>
        <w:tabs>
          <w:tab w:leader="none" w:pos="1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18,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James B. Gattoni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4"/>
          </w:cols>
          <w:pgMar w:left="436" w:top="125" w:right="4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Federico L. Pensotti, certify that:</w:t>
      </w:r>
    </w:p>
    <w:p>
      <w:pPr>
        <w:spacing w:after="0" w:line="252" w:lineRule="exact"/>
        <w:rPr>
          <w:sz w:val="20"/>
          <w:szCs w:val="20"/>
          <w:color w:val="auto"/>
        </w:rPr>
      </w:pPr>
    </w:p>
    <w:p>
      <w:pPr>
        <w:ind w:left="224" w:hanging="224"/>
        <w:spacing w:after="0"/>
        <w:tabs>
          <w:tab w:leader="none" w:pos="2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Landstar System, Inc.;</w:t>
      </w:r>
    </w:p>
    <w:p>
      <w:pPr>
        <w:spacing w:after="0" w:line="225" w:lineRule="exact"/>
        <w:rPr>
          <w:rFonts w:ascii="Arial" w:cs="Arial" w:eastAsia="Arial" w:hAnsi="Arial"/>
          <w:sz w:val="18"/>
          <w:szCs w:val="18"/>
          <w:color w:val="auto"/>
        </w:rPr>
      </w:pPr>
    </w:p>
    <w:p>
      <w:pPr>
        <w:ind w:left="4" w:right="60" w:hanging="4"/>
        <w:spacing w:after="0" w:line="342" w:lineRule="auto"/>
        <w:tabs>
          <w:tab w:leader="none" w:pos="1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 w:right="340" w:hanging="4"/>
        <w:spacing w:after="0" w:line="308" w:lineRule="auto"/>
        <w:tabs>
          <w:tab w:leader="none" w:pos="18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 w:right="20" w:hanging="4"/>
        <w:spacing w:after="0" w:line="263" w:lineRule="auto"/>
        <w:tabs>
          <w:tab w:leader="none" w:pos="1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4" w:right="120" w:hanging="4"/>
        <w:spacing w:after="0" w:line="263" w:lineRule="auto"/>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 w:right="100" w:hanging="4"/>
        <w:spacing w:after="0" w:line="263" w:lineRule="auto"/>
        <w:tabs>
          <w:tab w:leader="none" w:pos="1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 w:right="160" w:hanging="4"/>
        <w:spacing w:after="0" w:line="308" w:lineRule="auto"/>
        <w:tabs>
          <w:tab w:leader="none" w:pos="189"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 w:right="180" w:hanging="4"/>
        <w:spacing w:after="0" w:line="263" w:lineRule="auto"/>
        <w:tabs>
          <w:tab w:leader="none" w:pos="1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4" w:right="200" w:hanging="4"/>
        <w:spacing w:after="0" w:line="308" w:lineRule="auto"/>
        <w:tabs>
          <w:tab w:leader="none" w:pos="18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4" w:right="80" w:hanging="4"/>
        <w:spacing w:after="0" w:line="277" w:lineRule="auto"/>
        <w:tabs>
          <w:tab w:leader="none" w:pos="1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 w:right="120" w:hanging="4"/>
        <w:spacing w:after="0" w:line="277" w:lineRule="auto"/>
        <w:tabs>
          <w:tab w:leader="none" w:pos="1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18,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Federico L. Pensotti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Federico L. Pensotti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024"/>
          </w:cols>
          <w:pgMar w:left="436" w:top="125"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In connection with the Annual Report of Landstar System, Inc. (the “Company”) on Form 10-K for the period ending December 25, 2021, as filed with the Securities and Exchange Commission on the date hereof (the “Report”), I, James B. Gattoni, President and Chief Executive Officer and principal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384" w:hanging="384"/>
        <w:spacing w:after="0"/>
        <w:tabs>
          <w:tab w:leader="none" w:pos="3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James B. Gattoni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024"/>
          </w:cols>
          <w:pgMar w:left="436" w:top="125" w:right="4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4" w:right="140"/>
        <w:spacing w:after="0" w:line="286" w:lineRule="auto"/>
        <w:rPr>
          <w:sz w:val="20"/>
          <w:szCs w:val="20"/>
          <w:color w:val="auto"/>
        </w:rPr>
      </w:pPr>
      <w:r>
        <w:rPr>
          <w:rFonts w:ascii="Arial" w:cs="Arial" w:eastAsia="Arial" w:hAnsi="Arial"/>
          <w:sz w:val="17"/>
          <w:szCs w:val="17"/>
          <w:color w:val="auto"/>
        </w:rPr>
        <w:t>In connection with the Annual Report of Landstar System, Inc. (the “Company”) on Form 10-K for the period ending December 25, 2021, as filed with the Securities and Exchange Commission on the date hereof (the “Report”), I, Federico L. Pensotti, Vice President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384" w:hanging="384"/>
        <w:spacing w:after="0"/>
        <w:tabs>
          <w:tab w:leader="none" w:pos="3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Federico L. Pensotti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Federico L. Pensotti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Vice President and Chief Financial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18, 2022</w:t>
      </w: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lowerRoman"/>
      <w:start w:val="3"/>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2"/>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decimal"/>
      <w:start w:val="3"/>
    </w:lvl>
  </w:abstractNum>
  <w:abstractNum w:abstractNumId="15">
    <w:nsid w:val="4353D0CD"/>
    <w:multiLevelType w:val="hybridMultilevel"/>
    <w:lvl w:ilvl="0">
      <w:lvlJc w:val="left"/>
      <w:lvlText w:val="(%1)"/>
      <w:numFmt w:val="decimal"/>
      <w:start w:val="3"/>
    </w:lvl>
  </w:abstractNum>
  <w:abstractNum w:abstractNumId="16">
    <w:nsid w:val="B03E0C6"/>
    <w:multiLevelType w:val="hybridMultilevel"/>
    <w:lvl w:ilvl="0">
      <w:lvlJc w:val="left"/>
      <w:lvlText w:val="(%1)"/>
      <w:numFmt w:val="decimal"/>
      <w:start w:val="4"/>
    </w:lvl>
  </w:abstractNum>
  <w:abstractNum w:abstractNumId="17">
    <w:nsid w:val="189A769B"/>
    <w:multiLevelType w:val="hybridMultilevel"/>
    <w:lvl w:ilvl="0">
      <w:lvlJc w:val="left"/>
      <w:lvlText w:val="(%1)"/>
      <w:numFmt w:val="decimal"/>
      <w:start w:val="10"/>
    </w:lvl>
  </w:abstractNum>
  <w:abstractNum w:abstractNumId="18">
    <w:nsid w:val="54E49EB4"/>
    <w:multiLevelType w:val="hybridMultilevel"/>
    <w:lvl w:ilvl="0">
      <w:lvlJc w:val="left"/>
      <w:lvlText w:val="(%1)"/>
      <w:numFmt w:val="decimal"/>
      <w:start w:val="21"/>
    </w:lvl>
  </w:abstractNum>
  <w:abstractNum w:abstractNumId="19">
    <w:nsid w:val="71F32454"/>
    <w:multiLevelType w:val="hybridMultilevel"/>
    <w:lvl w:ilvl="0">
      <w:lvlJc w:val="left"/>
      <w:lvlText w:val="(%1)"/>
      <w:numFmt w:val="decimal"/>
      <w:start w:val="23"/>
    </w:lvl>
  </w:abstractNum>
  <w:abstractNum w:abstractNumId="20">
    <w:nsid w:val="2CA88611"/>
    <w:multiLevelType w:val="hybridMultilevel"/>
    <w:lvl w:ilvl="0">
      <w:lvlJc w:val="left"/>
      <w:lvlText w:val="(%1)"/>
      <w:numFmt w:val="decimal"/>
      <w:start w:val="24"/>
    </w:lvl>
  </w:abstractNum>
  <w:abstractNum w:abstractNumId="21">
    <w:nsid w:val="836C40E"/>
    <w:multiLevelType w:val="hybridMultilevel"/>
    <w:lvl w:ilvl="0">
      <w:lvlJc w:val="left"/>
      <w:lvlText w:val="(%1)"/>
      <w:numFmt w:val="decimal"/>
      <w:start w:val="31"/>
    </w:lvl>
  </w:abstractNum>
  <w:abstractNum w:abstractNumId="22">
    <w:nsid w:val="2901D82"/>
    <w:multiLevelType w:val="hybridMultilevel"/>
    <w:lvl w:ilvl="0">
      <w:lvlJc w:val="left"/>
      <w:lvlText w:val="(%1)"/>
      <w:numFmt w:val="decimal"/>
      <w:start w:val="32"/>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1"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85" Type="http://schemas.openxmlformats.org/officeDocument/2006/relationships/hyperlink" Target="http://www.sec.gov/Archives/edgar/data/853816/000095014406002093/g99549exv3w1.htm" TargetMode="External"/><Relationship Id="rId86" Type="http://schemas.openxmlformats.org/officeDocument/2006/relationships/hyperlink" Target="http://www.sec.gov/Archives/edgar/data/853816/000095012311016941/g25406exv3w2.htm" TargetMode="External"/><Relationship Id="rId87" Type="http://schemas.openxmlformats.org/officeDocument/2006/relationships/hyperlink" Target="http://www.sec.gov/Archives/edgar/data/853816/000119312520044766/d837995dex44.htm" TargetMode="External"/><Relationship Id="rId88" Type="http://schemas.openxmlformats.org/officeDocument/2006/relationships/hyperlink" Target="http://www.sec.gov/Archives/edgar/data/853816/000119312520227793/d922591dex101.htm" TargetMode="External"/><Relationship Id="rId89" Type="http://schemas.openxmlformats.org/officeDocument/2006/relationships/hyperlink" Target="http://www.sec.gov/Archives/edgar/data/853816/000119312517119524/d262071ddef14a.htm" TargetMode="External"/><Relationship Id="rId90" Type="http://schemas.openxmlformats.org/officeDocument/2006/relationships/hyperlink" Target="http://www.sec.gov/Archives/edgar/data/853816/000119312515056671/d836695dex102.htm" TargetMode="External"/><Relationship Id="rId92" Type="http://schemas.openxmlformats.org/officeDocument/2006/relationships/hyperlink" Target="http://www.sec.gov/Archives/edgar/data/853816/000119312519048217/d671477dex103.htm" TargetMode="External"/><Relationship Id="rId93" Type="http://schemas.openxmlformats.org/officeDocument/2006/relationships/hyperlink" Target="http://www.sec.gov/Archives/edgar/data/853816/000119312516530170/d52651ddef14a.htm" TargetMode="External"/><Relationship Id="rId94" Type="http://schemas.openxmlformats.org/officeDocument/2006/relationships/hyperlink" Target="http://www.sec.gov/Archives/edgar/data/853816/000095014404001973/g87318exv10w2.htm" TargetMode="External"/><Relationship Id="rId95" Type="http://schemas.openxmlformats.org/officeDocument/2006/relationships/hyperlink" Target="http://www.sec.gov/Archives/edgar/data/853816/000119312516469941/d105822dex1012.htm" TargetMode="External"/><Relationship Id="rId96" Type="http://schemas.openxmlformats.org/officeDocument/2006/relationships/hyperlink" Target="http://www.sec.gov/Archives/edgar/data/853816/000119312515098497/d893748dex991.htm" TargetMode="External"/><Relationship Id="rId97" Type="http://schemas.openxmlformats.org/officeDocument/2006/relationships/hyperlink" Target="http://www.sec.gov/Archives/edgar/data/853816/000119312518131377/d575258dex101.htm" TargetMode="External"/><Relationship Id="rId98" Type="http://schemas.openxmlformats.org/officeDocument/2006/relationships/hyperlink" Target="http://www.sec.gov/Archives/edgar/data/853816/000119312521230798/d434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2022-02-18T15:39:53Z</dcterms:created>
  <dcterms:modified xsi:type="dcterms:W3CDTF">2022-02-18T15:39:53Z</dcterms:modified>
</cp:coreProperties>
</file>